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4"/>
        <w:spacing w:after="0" w:line="240" w:lineRule="auto"/>
        <w:ind w:left="426"/>
        <w:jc w:val="center"/>
        <w:rPr>
          <w:rFonts w:ascii="Book Antiqua" w:hAnsi="Book Antiqua" w:eastAsia="Times New Roman"/>
          <w:b/>
          <w:sz w:val="24"/>
          <w:szCs w:val="24"/>
        </w:rPr>
      </w:pPr>
      <w:r>
        <w:rPr>
          <w:rFonts w:ascii="Book Antiqua" w:hAnsi="Book Antiqua" w:eastAsia="Times New Roman"/>
          <w:b/>
          <w:sz w:val="24"/>
          <w:szCs w:val="24"/>
        </w:rPr>
        <w:t>STUDI EKSPLORASI LITERASI ASPEK PENGETAHUAN</w:t>
      </w:r>
    </w:p>
    <w:p>
      <w:pPr>
        <w:pStyle w:val="24"/>
        <w:spacing w:after="0" w:line="240" w:lineRule="auto"/>
        <w:ind w:left="426"/>
        <w:jc w:val="center"/>
        <w:rPr>
          <w:rFonts w:ascii="Book Antiqua" w:hAnsi="Book Antiqua" w:eastAsia="Times New Roman"/>
          <w:b/>
          <w:sz w:val="24"/>
          <w:szCs w:val="24"/>
        </w:rPr>
      </w:pPr>
      <w:r>
        <w:rPr>
          <w:rFonts w:ascii="Book Antiqua" w:hAnsi="Book Antiqua" w:eastAsia="Times New Roman"/>
          <w:b/>
          <w:sz w:val="24"/>
          <w:szCs w:val="24"/>
        </w:rPr>
        <w:t xml:space="preserve">LINGKUNGAN LAHAN BASAH  SISWA SD ADIWIYATA </w:t>
      </w:r>
    </w:p>
    <w:p>
      <w:pPr>
        <w:pStyle w:val="24"/>
        <w:spacing w:after="0" w:line="240" w:lineRule="auto"/>
        <w:ind w:left="426"/>
        <w:jc w:val="center"/>
        <w:rPr>
          <w:rFonts w:ascii="Book Antiqua" w:hAnsi="Book Antiqua" w:eastAsia="Times New Roman"/>
          <w:b/>
          <w:sz w:val="24"/>
          <w:szCs w:val="24"/>
        </w:rPr>
      </w:pPr>
      <w:r>
        <w:rPr>
          <w:rFonts w:ascii="Book Antiqua" w:hAnsi="Book Antiqua" w:eastAsia="Times New Roman"/>
          <w:b/>
          <w:sz w:val="24"/>
          <w:szCs w:val="24"/>
        </w:rPr>
        <w:t>DI BANJARMASIN</w:t>
      </w:r>
    </w:p>
    <w:p>
      <w:pPr>
        <w:spacing w:after="0" w:line="240" w:lineRule="auto"/>
        <w:ind w:left="567" w:right="567"/>
        <w:jc w:val="center"/>
        <w:rPr>
          <w:rFonts w:ascii="Book Antiqua" w:hAnsi="Book Antiqua" w:eastAsia="Times New Roman" w:cs="Times New Roman"/>
          <w:b/>
          <w:sz w:val="24"/>
          <w:szCs w:val="24"/>
          <w:lang w:val="en-US"/>
        </w:rPr>
      </w:pPr>
    </w:p>
    <w:p>
      <w:pPr>
        <w:autoSpaceDE w:val="0"/>
        <w:autoSpaceDN w:val="0"/>
        <w:adjustRightInd w:val="0"/>
        <w:spacing w:after="0" w:line="240" w:lineRule="auto"/>
        <w:ind w:left="567" w:right="567"/>
        <w:jc w:val="center"/>
        <w:rPr>
          <w:rFonts w:ascii="Book Antiqua" w:hAnsi="Book Antiqua" w:eastAsia="Times New Roman" w:cs="Times New Roman"/>
          <w:b/>
          <w:bCs/>
          <w:lang w:val="en-US"/>
        </w:rPr>
      </w:pPr>
    </w:p>
    <w:p>
      <w:pPr>
        <w:spacing w:after="0" w:line="240" w:lineRule="auto"/>
        <w:ind w:left="567" w:right="567"/>
        <w:jc w:val="center"/>
        <w:rPr>
          <w:rFonts w:ascii="Book Antiqua" w:hAnsi="Book Antiqua" w:eastAsia="Times New Roman" w:cs="Times New Roman"/>
          <w:b/>
          <w:bCs/>
          <w:lang w:val="en-US"/>
        </w:rPr>
      </w:pPr>
      <w:r>
        <w:rPr>
          <w:rFonts w:ascii="Book Antiqua" w:hAnsi="Book Antiqua" w:eastAsia="Times New Roman" w:cs="Times New Roman"/>
          <w:b/>
          <w:bCs/>
          <w:vertAlign w:val="superscript"/>
          <w:lang w:val="en-US"/>
        </w:rPr>
        <w:t>1</w:t>
      </w:r>
      <w:r>
        <w:rPr>
          <w:rFonts w:ascii="Book Antiqua" w:hAnsi="Book Antiqua" w:eastAsia="Times New Roman" w:cs="Times New Roman"/>
          <w:b/>
          <w:bCs/>
          <w:lang w:val="en-US"/>
        </w:rPr>
        <w:t xml:space="preserve">Jamilah, </w:t>
      </w:r>
      <w:r>
        <w:rPr>
          <w:rFonts w:ascii="Book Antiqua" w:hAnsi="Book Antiqua" w:eastAsia="Times New Roman" w:cs="Times New Roman"/>
          <w:b/>
          <w:bCs/>
          <w:vertAlign w:val="superscript"/>
          <w:lang w:val="en-US"/>
        </w:rPr>
        <w:t>1</w:t>
      </w:r>
      <w:r>
        <w:rPr>
          <w:rFonts w:ascii="Book Antiqua" w:hAnsi="Book Antiqua" w:eastAsia="Times New Roman" w:cs="Times New Roman"/>
          <w:b/>
          <w:bCs/>
          <w:lang w:val="en-US"/>
        </w:rPr>
        <w:t xml:space="preserve">Ikhwan Khairu Sadiqin*, </w:t>
      </w:r>
      <w:r>
        <w:rPr>
          <w:rFonts w:ascii="Book Antiqua" w:hAnsi="Book Antiqua" w:eastAsia="Times New Roman" w:cs="Times New Roman"/>
          <w:b/>
          <w:bCs/>
          <w:vertAlign w:val="superscript"/>
          <w:lang w:val="en-US"/>
        </w:rPr>
        <w:t>2</w:t>
      </w:r>
      <w:r>
        <w:rPr>
          <w:rFonts w:ascii="Book Antiqua" w:hAnsi="Book Antiqua" w:eastAsia="Times New Roman" w:cs="Times New Roman"/>
          <w:b/>
          <w:bCs/>
          <w:lang w:val="en-US"/>
        </w:rPr>
        <w:t xml:space="preserve">Fahmi </w:t>
      </w:r>
    </w:p>
    <w:p>
      <w:pPr>
        <w:spacing w:after="0" w:line="240" w:lineRule="auto"/>
        <w:ind w:left="567" w:right="567"/>
        <w:jc w:val="center"/>
        <w:rPr>
          <w:rFonts w:ascii="Book Antiqua" w:hAnsi="Book Antiqua" w:eastAsia="Times New Roman" w:cs="Times New Roman"/>
          <w:sz w:val="18"/>
          <w:szCs w:val="18"/>
          <w:lang w:val="en-US"/>
        </w:rPr>
      </w:pPr>
      <w:r>
        <w:rPr>
          <w:rFonts w:ascii="Book Antiqua" w:hAnsi="Book Antiqua" w:eastAsia="Times New Roman" w:cs="Times New Roman"/>
          <w:sz w:val="18"/>
          <w:szCs w:val="18"/>
          <w:lang w:val="en-US"/>
        </w:rPr>
        <w:t>Fakultas Keguruan dan Ilmu Pendidikan, Universitas Terbuka, UPBJJ-UT Banjarmasin,  Jl. Sultan Adam No.128, Banjarmasin, 70122, Indonesia</w:t>
      </w:r>
    </w:p>
    <w:p>
      <w:pPr>
        <w:spacing w:after="0" w:line="240" w:lineRule="auto"/>
        <w:ind w:left="567" w:right="567"/>
        <w:jc w:val="center"/>
        <w:rPr>
          <w:rFonts w:ascii="Book Antiqua" w:hAnsi="Book Antiqua" w:eastAsia="Times New Roman" w:cs="Times New Roman"/>
          <w:sz w:val="18"/>
          <w:szCs w:val="18"/>
          <w:lang w:val="en-US"/>
        </w:rPr>
      </w:pPr>
      <w:r>
        <w:rPr>
          <w:rFonts w:ascii="Book Antiqua" w:hAnsi="Book Antiqua" w:eastAsia="Times New Roman" w:cs="Times New Roman"/>
          <w:sz w:val="18"/>
          <w:szCs w:val="18"/>
          <w:lang w:val="en-US"/>
        </w:rPr>
        <w:t>Magister Pendidikan IPA, Pascasarjana, Universitas Lambung Mangkurat Jl. Brigjen H. Hasan Basry, Banjarmasin, 70124, Indonesia</w:t>
      </w:r>
    </w:p>
    <w:p>
      <w:pPr>
        <w:spacing w:after="0" w:line="240" w:lineRule="auto"/>
        <w:ind w:left="567" w:right="567"/>
        <w:jc w:val="center"/>
        <w:rPr>
          <w:rFonts w:ascii="Book Antiqua" w:hAnsi="Book Antiqua" w:eastAsia="Times New Roman" w:cs="Times New Roman"/>
          <w:spacing w:val="-4"/>
          <w:shd w:val="clear" w:color="auto" w:fill="FFFFFF"/>
        </w:rPr>
      </w:pPr>
    </w:p>
    <w:p>
      <w:pPr>
        <w:autoSpaceDE w:val="0"/>
        <w:autoSpaceDN w:val="0"/>
        <w:adjustRightInd w:val="0"/>
        <w:spacing w:after="0" w:line="240" w:lineRule="auto"/>
        <w:ind w:left="567" w:right="566"/>
        <w:jc w:val="both"/>
        <w:rPr>
          <w:rFonts w:ascii="Book Antiqua" w:hAnsi="Book Antiqua" w:eastAsia="Times New Roman" w:cs="Times New Roman"/>
          <w:bCs/>
          <w:spacing w:val="-4"/>
          <w:sz w:val="18"/>
          <w:szCs w:val="18"/>
          <w:highlight w:val="lightGray"/>
        </w:rPr>
      </w:pPr>
      <w:r>
        <w:rPr>
          <w:rFonts w:ascii="Book Antiqua" w:hAnsi="Book Antiqua" w:eastAsia="Times New Roman" w:cs="Times New Roman"/>
          <w:bCs/>
          <w:spacing w:val="-4"/>
          <w:sz w:val="18"/>
          <w:szCs w:val="18"/>
          <w:highlight w:val="lightGray"/>
        </w:rPr>
        <w:t xml:space="preserve">Submit: </w:t>
      </w:r>
      <w:r>
        <w:rPr>
          <w:rFonts w:ascii="Book Antiqua" w:hAnsi="Book Antiqua" w:eastAsia="Times New Roman" w:cs="Times New Roman"/>
          <w:bCs/>
          <w:color w:val="FF0000"/>
          <w:spacing w:val="-4"/>
          <w:sz w:val="18"/>
          <w:szCs w:val="18"/>
          <w:highlight w:val="lightGray"/>
        </w:rPr>
        <w:t>00 Bulan tahun</w:t>
      </w:r>
      <w:r>
        <w:rPr>
          <w:rFonts w:ascii="Book Antiqua" w:hAnsi="Book Antiqua" w:eastAsia="Times New Roman" w:cs="Times New Roman"/>
          <w:bCs/>
          <w:spacing w:val="-4"/>
          <w:sz w:val="18"/>
          <w:szCs w:val="18"/>
          <w:highlight w:val="lightGray"/>
        </w:rPr>
        <w:tab/>
      </w:r>
      <w:r>
        <w:rPr>
          <w:rFonts w:ascii="Book Antiqua" w:hAnsi="Book Antiqua" w:eastAsia="Times New Roman" w:cs="Times New Roman"/>
          <w:bCs/>
          <w:spacing w:val="-4"/>
          <w:sz w:val="18"/>
          <w:szCs w:val="18"/>
          <w:highlight w:val="lightGray"/>
        </w:rPr>
        <w:tab/>
      </w:r>
      <w:r>
        <w:rPr>
          <w:rFonts w:ascii="Book Antiqua" w:hAnsi="Book Antiqua" w:eastAsia="Times New Roman" w:cs="Times New Roman"/>
          <w:bCs/>
          <w:spacing w:val="-4"/>
          <w:sz w:val="18"/>
          <w:szCs w:val="18"/>
          <w:highlight w:val="lightGray"/>
        </w:rPr>
        <w:tab/>
      </w:r>
      <w:r>
        <w:rPr>
          <w:rFonts w:ascii="Book Antiqua" w:hAnsi="Book Antiqua" w:eastAsia="Times New Roman" w:cs="Times New Roman"/>
          <w:bCs/>
          <w:spacing w:val="-4"/>
          <w:sz w:val="18"/>
          <w:szCs w:val="18"/>
          <w:highlight w:val="lightGray"/>
        </w:rPr>
        <w:t>Accepted</w:t>
      </w:r>
      <w:r>
        <w:rPr>
          <w:rFonts w:ascii="Book Antiqua" w:hAnsi="Book Antiqua" w:eastAsia="Times New Roman" w:cs="Times New Roman"/>
          <w:bCs/>
          <w:spacing w:val="-4"/>
          <w:sz w:val="18"/>
          <w:szCs w:val="18"/>
          <w:highlight w:val="lightGray"/>
        </w:rPr>
        <w:tab/>
      </w:r>
      <w:r>
        <w:rPr>
          <w:rFonts w:ascii="Book Antiqua" w:hAnsi="Book Antiqua" w:eastAsia="Times New Roman" w:cs="Times New Roman"/>
          <w:bCs/>
          <w:spacing w:val="-4"/>
          <w:sz w:val="18"/>
          <w:szCs w:val="18"/>
          <w:highlight w:val="lightGray"/>
        </w:rPr>
        <w:t xml:space="preserve">: </w:t>
      </w:r>
      <w:r>
        <w:rPr>
          <w:rFonts w:ascii="Book Antiqua" w:hAnsi="Book Antiqua" w:eastAsia="Times New Roman" w:cs="Times New Roman"/>
          <w:bCs/>
          <w:color w:val="FF0000"/>
          <w:spacing w:val="-4"/>
          <w:sz w:val="18"/>
          <w:szCs w:val="18"/>
          <w:highlight w:val="lightGray"/>
        </w:rPr>
        <w:t>00 Bulan tahun</w:t>
      </w:r>
    </w:p>
    <w:p>
      <w:pPr>
        <w:autoSpaceDE w:val="0"/>
        <w:autoSpaceDN w:val="0"/>
        <w:adjustRightInd w:val="0"/>
        <w:spacing w:after="0" w:line="240" w:lineRule="auto"/>
        <w:ind w:left="567" w:right="566"/>
        <w:jc w:val="both"/>
        <w:rPr>
          <w:rFonts w:ascii="Book Antiqua" w:hAnsi="Book Antiqua" w:eastAsia="Times New Roman" w:cs="Times New Roman"/>
          <w:bCs/>
          <w:spacing w:val="-4"/>
        </w:rPr>
      </w:pPr>
    </w:p>
    <w:p>
      <w:pPr>
        <w:autoSpaceDE w:val="0"/>
        <w:autoSpaceDN w:val="0"/>
        <w:adjustRightInd w:val="0"/>
        <w:spacing w:after="0" w:line="240" w:lineRule="auto"/>
        <w:ind w:left="567" w:right="566"/>
        <w:jc w:val="both"/>
        <w:rPr>
          <w:rFonts w:ascii="Book Antiqua" w:hAnsi="Book Antiqua" w:eastAsia="Times New Roman" w:cs="Times New Roman"/>
          <w:bCs/>
          <w:spacing w:val="-4"/>
          <w:sz w:val="18"/>
          <w:szCs w:val="18"/>
        </w:rPr>
      </w:pPr>
      <w:r>
        <w:rPr>
          <w:rFonts w:ascii="Book Antiqua" w:hAnsi="Book Antiqua" w:eastAsia="Times New Roman" w:cs="Times New Roman"/>
          <w:b/>
          <w:spacing w:val="-4"/>
          <w:sz w:val="18"/>
          <w:szCs w:val="18"/>
        </w:rPr>
        <w:t>*Corresponding author:</w:t>
      </w:r>
      <w:r>
        <w:rPr>
          <w:rFonts w:ascii="Book Antiqua" w:hAnsi="Book Antiqua" w:eastAsia="Times New Roman" w:cs="Times New Roman"/>
          <w:bCs/>
          <w:spacing w:val="-4"/>
          <w:sz w:val="18"/>
          <w:szCs w:val="18"/>
        </w:rPr>
        <w:t xml:space="preserve"> </w:t>
      </w:r>
      <w:r>
        <w:rPr>
          <w:rFonts w:ascii="Book Antiqua" w:hAnsi="Book Antiqua" w:eastAsia="Times New Roman" w:cs="Times New Roman"/>
          <w:bCs/>
          <w:spacing w:val="-4"/>
          <w:sz w:val="18"/>
          <w:szCs w:val="18"/>
          <w:lang w:val="en-US"/>
        </w:rPr>
        <w:t>ksikhwan</w:t>
      </w:r>
      <w:r>
        <w:rPr>
          <w:rFonts w:ascii="Book Antiqua" w:hAnsi="Book Antiqua" w:eastAsia="Times New Roman" w:cs="Times New Roman"/>
          <w:sz w:val="18"/>
          <w:szCs w:val="18"/>
          <w:lang w:val="en-US"/>
        </w:rPr>
        <w:t>@gmail.com</w:t>
      </w:r>
    </w:p>
    <w:p>
      <w:pPr>
        <w:autoSpaceDE w:val="0"/>
        <w:autoSpaceDN w:val="0"/>
        <w:adjustRightInd w:val="0"/>
        <w:spacing w:after="0" w:line="240" w:lineRule="auto"/>
        <w:ind w:right="567"/>
        <w:jc w:val="both"/>
        <w:rPr>
          <w:rFonts w:ascii="Book Antiqua" w:hAnsi="Book Antiqua" w:eastAsia="Times New Roman" w:cs="Times New Roman"/>
          <w:b/>
          <w:iCs/>
          <w:spacing w:val="-4"/>
        </w:rPr>
      </w:pPr>
    </w:p>
    <w:p>
      <w:pPr>
        <w:autoSpaceDE w:val="0"/>
        <w:autoSpaceDN w:val="0"/>
        <w:adjustRightInd w:val="0"/>
        <w:spacing w:after="0" w:line="240" w:lineRule="auto"/>
        <w:ind w:left="567" w:right="567"/>
        <w:jc w:val="both"/>
        <w:rPr>
          <w:rFonts w:hint="default" w:ascii="Book Antiqua" w:hAnsi="Book Antiqua" w:eastAsia="Times New Roman"/>
          <w:iCs/>
          <w:spacing w:val="-4"/>
          <w:sz w:val="20"/>
          <w:szCs w:val="20"/>
        </w:rPr>
      </w:pPr>
      <w:r>
        <w:rPr>
          <w:rFonts w:ascii="Book Antiqua" w:hAnsi="Book Antiqua" w:eastAsia="Times New Roman" w:cs="Times New Roman"/>
          <w:b/>
          <w:iCs/>
          <w:spacing w:val="-4"/>
          <w:sz w:val="20"/>
          <w:szCs w:val="20"/>
        </w:rPr>
        <w:t>Abstrak</w:t>
      </w:r>
      <w:r>
        <w:rPr>
          <w:rFonts w:ascii="Book Antiqua" w:hAnsi="Book Antiqua" w:eastAsia="Times New Roman" w:cs="Times New Roman"/>
          <w:iCs/>
          <w:spacing w:val="-4"/>
          <w:sz w:val="20"/>
          <w:szCs w:val="20"/>
        </w:rPr>
        <w:t>:</w:t>
      </w:r>
      <w:r>
        <w:rPr>
          <w:rFonts w:ascii="Book Antiqua" w:hAnsi="Book Antiqua" w:eastAsia="Times New Roman" w:cs="Times New Roman"/>
          <w:i/>
          <w:iCs/>
          <w:spacing w:val="-4"/>
          <w:sz w:val="20"/>
          <w:szCs w:val="20"/>
        </w:rPr>
        <w:t xml:space="preserve"> </w:t>
      </w:r>
      <w:r>
        <w:rPr>
          <w:rFonts w:ascii="Book Antiqua" w:hAnsi="Book Antiqua" w:eastAsia="Times New Roman" w:cs="Times New Roman"/>
          <w:iCs/>
          <w:spacing w:val="-4"/>
          <w:sz w:val="20"/>
          <w:szCs w:val="20"/>
        </w:rPr>
        <w:t xml:space="preserve">Tujuan penelitian ini ialah mendeskripsikan </w:t>
      </w:r>
      <w:r>
        <w:rPr>
          <w:rFonts w:hint="default" w:ascii="Book Antiqua" w:hAnsi="Book Antiqua" w:eastAsia="Times New Roman"/>
          <w:iCs/>
          <w:spacing w:val="-4"/>
          <w:sz w:val="20"/>
          <w:szCs w:val="20"/>
        </w:rPr>
        <w:t>literasi aspek pengetahuan</w:t>
      </w:r>
      <w:r>
        <w:rPr>
          <w:rFonts w:hint="default" w:ascii="Book Antiqua" w:hAnsi="Book Antiqua" w:eastAsia="Times New Roman"/>
          <w:iCs/>
          <w:spacing w:val="-4"/>
          <w:sz w:val="20"/>
          <w:szCs w:val="20"/>
          <w:lang w:val="en-US"/>
        </w:rPr>
        <w:t xml:space="preserve"> l</w:t>
      </w:r>
      <w:r>
        <w:rPr>
          <w:rFonts w:hint="default" w:ascii="Book Antiqua" w:hAnsi="Book Antiqua" w:eastAsia="Times New Roman"/>
          <w:iCs/>
          <w:spacing w:val="-4"/>
          <w:sz w:val="20"/>
          <w:szCs w:val="20"/>
        </w:rPr>
        <w:t>ingkungan lahan basah</w:t>
      </w:r>
      <w:r>
        <w:rPr>
          <w:rFonts w:hint="default" w:ascii="Book Antiqua" w:hAnsi="Book Antiqua" w:eastAsia="Times New Roman"/>
          <w:iCs/>
          <w:spacing w:val="-4"/>
          <w:sz w:val="20"/>
          <w:szCs w:val="20"/>
          <w:lang w:val="en-US"/>
        </w:rPr>
        <w:t xml:space="preserve"> siswa SD</w:t>
      </w:r>
      <w:r>
        <w:rPr>
          <w:rFonts w:ascii="Book Antiqua" w:hAnsi="Book Antiqua" w:eastAsia="Times New Roman" w:cs="Times New Roman"/>
          <w:iCs/>
          <w:spacing w:val="-4"/>
          <w:sz w:val="20"/>
          <w:szCs w:val="20"/>
        </w:rPr>
        <w:t xml:space="preserve">. Penelitian ini merupakan </w:t>
      </w:r>
      <w:r>
        <w:rPr>
          <w:rFonts w:hint="default" w:ascii="Book Antiqua" w:hAnsi="Book Antiqua" w:eastAsia="Times New Roman" w:cs="Times New Roman"/>
          <w:iCs/>
          <w:spacing w:val="-4"/>
          <w:sz w:val="20"/>
          <w:szCs w:val="20"/>
          <w:lang w:val="en-US"/>
        </w:rPr>
        <w:t xml:space="preserve">jenis deskripsi, mengeksplorasi level pemahaman </w:t>
      </w:r>
      <w:r>
        <w:rPr>
          <w:rFonts w:hint="default" w:ascii="Book Antiqua" w:hAnsi="Book Antiqua" w:eastAsia="Times New Roman"/>
          <w:iCs/>
          <w:spacing w:val="-4"/>
          <w:sz w:val="20"/>
          <w:szCs w:val="20"/>
        </w:rPr>
        <w:t>lahan basah</w:t>
      </w:r>
      <w:r>
        <w:rPr>
          <w:rFonts w:hint="default" w:ascii="Book Antiqua" w:hAnsi="Book Antiqua" w:eastAsia="Times New Roman"/>
          <w:iCs/>
          <w:spacing w:val="-4"/>
          <w:sz w:val="20"/>
          <w:szCs w:val="20"/>
          <w:lang w:val="en-US"/>
        </w:rPr>
        <w:t xml:space="preserve"> </w:t>
      </w:r>
      <w:r>
        <w:rPr>
          <w:rFonts w:hint="default" w:ascii="Book Antiqua" w:hAnsi="Book Antiqua" w:eastAsia="Times New Roman" w:cs="Times New Roman"/>
          <w:iCs/>
          <w:spacing w:val="-4"/>
          <w:sz w:val="20"/>
          <w:szCs w:val="20"/>
          <w:lang w:val="en-US"/>
        </w:rPr>
        <w:t>siswa dan karakterstik materi dari sudut pandang siswa</w:t>
      </w:r>
      <w:r>
        <w:rPr>
          <w:rFonts w:ascii="Book Antiqua" w:hAnsi="Book Antiqua" w:eastAsia="Times New Roman" w:cs="Times New Roman"/>
          <w:iCs/>
          <w:spacing w:val="-4"/>
          <w:sz w:val="20"/>
          <w:szCs w:val="20"/>
        </w:rPr>
        <w:t xml:space="preserve">. </w:t>
      </w:r>
      <w:r>
        <w:rPr>
          <w:rFonts w:hint="default" w:ascii="Book Antiqua" w:hAnsi="Book Antiqua" w:eastAsia="Times New Roman"/>
          <w:iCs/>
          <w:spacing w:val="-4"/>
          <w:sz w:val="20"/>
          <w:szCs w:val="20"/>
          <w:lang w:val="en-US"/>
        </w:rPr>
        <w:t>I</w:t>
      </w:r>
      <w:r>
        <w:rPr>
          <w:rFonts w:hint="default" w:ascii="Book Antiqua" w:hAnsi="Book Antiqua" w:eastAsia="Times New Roman"/>
          <w:iCs/>
          <w:spacing w:val="-4"/>
          <w:sz w:val="20"/>
          <w:szCs w:val="20"/>
        </w:rPr>
        <w:t>nstrumen berupa soal dan angket opini pengetahuan lingkungan</w:t>
      </w:r>
      <w:r>
        <w:rPr>
          <w:rFonts w:hint="default" w:ascii="Book Antiqua" w:hAnsi="Book Antiqua" w:eastAsia="Times New Roman"/>
          <w:iCs/>
          <w:spacing w:val="-4"/>
          <w:sz w:val="20"/>
          <w:szCs w:val="20"/>
          <w:lang w:val="en-US"/>
        </w:rPr>
        <w:t xml:space="preserve">, </w:t>
      </w:r>
      <w:r>
        <w:rPr>
          <w:rFonts w:hint="default" w:ascii="Book Antiqua" w:hAnsi="Book Antiqua" w:eastAsia="Times New Roman"/>
          <w:iCs/>
          <w:spacing w:val="-4"/>
          <w:sz w:val="20"/>
          <w:szCs w:val="20"/>
        </w:rPr>
        <w:t>dikembangakan dari rumusan NAEE dan PISA</w:t>
      </w:r>
      <w:r>
        <w:rPr>
          <w:rFonts w:hint="default" w:ascii="Book Antiqua" w:hAnsi="Book Antiqua" w:eastAsia="Times New Roman"/>
          <w:iCs/>
          <w:spacing w:val="-4"/>
          <w:sz w:val="20"/>
          <w:szCs w:val="20"/>
          <w:lang w:val="en-US"/>
        </w:rPr>
        <w:t xml:space="preserve">. </w:t>
      </w:r>
      <w:r>
        <w:rPr>
          <w:rFonts w:hint="default" w:ascii="Book Antiqua" w:hAnsi="Book Antiqua" w:eastAsia="Times New Roman"/>
          <w:iCs/>
          <w:spacing w:val="-4"/>
          <w:sz w:val="20"/>
          <w:szCs w:val="20"/>
        </w:rPr>
        <w:t>Pembahasan disajikan secara deskriptif kualitatif berdasarkan dari data kuantitatif berupa test dan wawancara.</w:t>
      </w:r>
      <w:r>
        <w:rPr>
          <w:rFonts w:hint="default" w:ascii="Book Antiqua" w:hAnsi="Book Antiqua" w:eastAsia="Times New Roman"/>
          <w:iCs/>
          <w:spacing w:val="-4"/>
          <w:sz w:val="20"/>
          <w:szCs w:val="20"/>
          <w:lang w:val="en-US"/>
        </w:rPr>
        <w:t xml:space="preserve"> </w:t>
      </w:r>
      <w:r>
        <w:rPr>
          <w:rFonts w:hint="default" w:ascii="Book Antiqua" w:hAnsi="Book Antiqua" w:eastAsia="Times New Roman"/>
          <w:iCs/>
          <w:spacing w:val="-4"/>
          <w:sz w:val="20"/>
          <w:szCs w:val="20"/>
        </w:rPr>
        <w:t>Subjek adalah siswa di SD adiwiyata kota Banjarmasin dan sekitarnya</w:t>
      </w:r>
      <w:r>
        <w:rPr>
          <w:rFonts w:hint="default" w:ascii="Book Antiqua" w:hAnsi="Book Antiqua" w:eastAsia="Times New Roman"/>
          <w:iCs/>
          <w:spacing w:val="-4"/>
          <w:sz w:val="20"/>
          <w:szCs w:val="20"/>
          <w:lang w:val="en-US"/>
        </w:rPr>
        <w:t xml:space="preserve"> </w:t>
      </w:r>
      <w:r>
        <w:rPr>
          <w:rFonts w:hint="default" w:ascii="Book Antiqua" w:hAnsi="Book Antiqua" w:eastAsia="Times New Roman"/>
          <w:iCs/>
          <w:spacing w:val="-4"/>
          <w:sz w:val="20"/>
          <w:szCs w:val="20"/>
        </w:rPr>
        <w:t xml:space="preserve">berjumlah 60 orang. Teknik pemilihan sampel dilakukan secara purposive sampling dengan mempertimbangkan karakteristik tempat tinggal guru dan siswa, kurikulum adiwiyata dan tujuan penelitian. </w:t>
      </w:r>
      <w:r>
        <w:rPr>
          <w:rFonts w:hint="default" w:ascii="Book Antiqua" w:hAnsi="Book Antiqua" w:eastAsia="Times New Roman"/>
          <w:iCs/>
          <w:spacing w:val="-4"/>
          <w:sz w:val="20"/>
          <w:szCs w:val="20"/>
          <w:lang w:val="en-US"/>
        </w:rPr>
        <w:t>Hasil penelitian ditemukan s</w:t>
      </w:r>
      <w:r>
        <w:rPr>
          <w:rFonts w:hint="default" w:ascii="Book Antiqua" w:hAnsi="Book Antiqua" w:eastAsia="Times New Roman"/>
          <w:iCs/>
          <w:spacing w:val="-4"/>
          <w:sz w:val="20"/>
          <w:szCs w:val="20"/>
        </w:rPr>
        <w:t>iswa SD cenderung memiliki kemampuan literasi lingkungan lahan basah siswa pada kategori baik. Skor reratanya mencapai 75,35. Pemicunya siswa didaerah banjarmasin kehidupan sangat bersentuhan dengan alam, baik flora dan fauna sehingga siswa dapat mengetahui dan merasakan langsung. Indikator literasi yang paling dikuasi siswa adalah tentang flora dan fauna, masuk pada kategori sangat baik dengan skor 85,43.</w:t>
      </w:r>
      <w:r>
        <w:rPr>
          <w:rFonts w:hint="default" w:ascii="Book Antiqua" w:hAnsi="Book Antiqua" w:eastAsia="Times New Roman"/>
          <w:iCs/>
          <w:spacing w:val="-4"/>
          <w:sz w:val="20"/>
          <w:szCs w:val="20"/>
          <w:lang w:val="en-US"/>
        </w:rPr>
        <w:t xml:space="preserve"> Poin ini </w:t>
      </w:r>
      <w:r>
        <w:rPr>
          <w:rFonts w:hint="default" w:ascii="Book Antiqua" w:hAnsi="Book Antiqua" w:eastAsia="Times New Roman"/>
          <w:iCs/>
          <w:spacing w:val="-4"/>
          <w:sz w:val="20"/>
          <w:szCs w:val="20"/>
        </w:rPr>
        <w:t xml:space="preserve">dikuasai dengan baik karena didukung oleh pengajaran  program PLH dan adiwiyata. Indikator </w:t>
      </w:r>
      <w:r>
        <w:rPr>
          <w:rFonts w:hint="default" w:ascii="Book Antiqua" w:hAnsi="Book Antiqua" w:eastAsia="Times New Roman"/>
          <w:iCs/>
          <w:spacing w:val="-4"/>
          <w:sz w:val="20"/>
          <w:szCs w:val="20"/>
          <w:lang w:val="en-US"/>
        </w:rPr>
        <w:t xml:space="preserve">lain </w:t>
      </w:r>
      <w:r>
        <w:rPr>
          <w:rFonts w:hint="default" w:ascii="Book Antiqua" w:hAnsi="Book Antiqua" w:eastAsia="Times New Roman"/>
          <w:iCs/>
          <w:spacing w:val="-4"/>
          <w:sz w:val="20"/>
          <w:szCs w:val="20"/>
        </w:rPr>
        <w:t>yang masih kurang disebabkan belum optimalnya studi lapangan atau observasi langsung ke lahan basah.</w:t>
      </w:r>
    </w:p>
    <w:p>
      <w:pPr>
        <w:autoSpaceDE w:val="0"/>
        <w:autoSpaceDN w:val="0"/>
        <w:adjustRightInd w:val="0"/>
        <w:spacing w:after="0" w:line="240" w:lineRule="auto"/>
        <w:ind w:left="567" w:right="567"/>
        <w:jc w:val="both"/>
        <w:rPr>
          <w:rFonts w:hint="default" w:ascii="Book Antiqua" w:hAnsi="Book Antiqua" w:eastAsia="Times New Roman"/>
          <w:iCs/>
          <w:spacing w:val="-4"/>
          <w:sz w:val="20"/>
          <w:szCs w:val="20"/>
        </w:rPr>
      </w:pPr>
    </w:p>
    <w:p>
      <w:pPr>
        <w:pStyle w:val="17"/>
        <w:spacing w:before="0" w:after="0" w:line="240" w:lineRule="auto"/>
        <w:ind w:right="566"/>
        <w:rPr>
          <w:rFonts w:ascii="Book Antiqua" w:hAnsi="Book Antiqua"/>
        </w:rPr>
      </w:pPr>
      <w:r>
        <w:rPr>
          <w:rFonts w:ascii="Book Antiqua" w:hAnsi="Book Antiqua"/>
          <w:b/>
        </w:rPr>
        <w:t xml:space="preserve">Kata kunci: </w:t>
      </w:r>
      <w:r>
        <w:rPr>
          <w:rFonts w:hint="default" w:ascii="Book Antiqua" w:hAnsi="Book Antiqua"/>
          <w:bCs/>
          <w:iCs/>
          <w:lang w:val="en-US"/>
        </w:rPr>
        <w:t>literasi lingkungan</w:t>
      </w:r>
      <w:r>
        <w:rPr>
          <w:rFonts w:ascii="Book Antiqua" w:hAnsi="Book Antiqua"/>
          <w:bCs/>
          <w:iCs/>
        </w:rPr>
        <w:t xml:space="preserve">, </w:t>
      </w:r>
      <w:r>
        <w:rPr>
          <w:rFonts w:hint="default" w:ascii="Book Antiqua" w:hAnsi="Book Antiqua"/>
          <w:bCs/>
          <w:iCs/>
          <w:lang w:val="en-US"/>
        </w:rPr>
        <w:t>lahan basah</w:t>
      </w:r>
      <w:r>
        <w:rPr>
          <w:rFonts w:ascii="Book Antiqua" w:hAnsi="Book Antiqua"/>
          <w:bCs/>
          <w:iCs/>
        </w:rPr>
        <w:t xml:space="preserve">, </w:t>
      </w:r>
      <w:r>
        <w:rPr>
          <w:rFonts w:hint="default" w:ascii="Book Antiqua" w:hAnsi="Book Antiqua"/>
          <w:bCs/>
          <w:i/>
          <w:iCs/>
          <w:lang w:val="en-US"/>
        </w:rPr>
        <w:t>adiwiyata</w:t>
      </w:r>
      <w:r>
        <w:rPr>
          <w:rFonts w:ascii="Book Antiqua" w:hAnsi="Book Antiqua"/>
          <w:bCs/>
          <w:iCs/>
        </w:rPr>
        <w:t>,</w:t>
      </w:r>
      <w:r>
        <w:rPr>
          <w:rFonts w:hint="default" w:ascii="Book Antiqua" w:hAnsi="Book Antiqua"/>
          <w:bCs/>
          <w:iCs/>
          <w:lang w:val="en-US"/>
        </w:rPr>
        <w:t xml:space="preserve"> PLH</w:t>
      </w:r>
      <w:r>
        <w:rPr>
          <w:rFonts w:ascii="Book Antiqua" w:hAnsi="Book Antiqua"/>
          <w:bCs/>
        </w:rPr>
        <w:t>.</w:t>
      </w:r>
    </w:p>
    <w:p>
      <w:pPr>
        <w:pStyle w:val="17"/>
        <w:spacing w:before="0" w:after="0" w:line="240" w:lineRule="auto"/>
        <w:ind w:right="566"/>
        <w:rPr>
          <w:rFonts w:ascii="Book Antiqua" w:hAnsi="Book Antiqua"/>
        </w:rPr>
      </w:pPr>
    </w:p>
    <w:p>
      <w:pPr>
        <w:spacing w:after="0" w:line="240" w:lineRule="auto"/>
        <w:ind w:right="567"/>
        <w:jc w:val="both"/>
        <w:rPr>
          <w:rFonts w:ascii="Book Antiqua" w:hAnsi="Book Antiqua" w:eastAsia="Times New Roman" w:cs="Times New Roman"/>
          <w:spacing w:val="-4"/>
          <w:lang w:val="en-US"/>
        </w:rPr>
      </w:pPr>
    </w:p>
    <w:p>
      <w:pPr>
        <w:spacing w:after="0" w:line="240" w:lineRule="auto"/>
        <w:ind w:right="567"/>
        <w:jc w:val="both"/>
        <w:rPr>
          <w:rFonts w:ascii="Book Antiqua" w:hAnsi="Book Antiqua" w:eastAsia="Times New Roman" w:cs="Times New Roman"/>
          <w:b/>
          <w:bCs/>
          <w:spacing w:val="-4"/>
        </w:rPr>
      </w:pPr>
    </w:p>
    <w:p>
      <w:pPr>
        <w:spacing w:after="0" w:line="240" w:lineRule="auto"/>
        <w:ind w:right="567"/>
        <w:jc w:val="both"/>
        <w:rPr>
          <w:rFonts w:ascii="Book Antiqua" w:hAnsi="Book Antiqua" w:eastAsia="Times New Roman" w:cs="Times New Roman"/>
          <w:b/>
          <w:bCs/>
          <w:spacing w:val="-4"/>
        </w:rPr>
      </w:pPr>
    </w:p>
    <w:p>
      <w:pPr>
        <w:spacing w:after="0" w:line="240" w:lineRule="auto"/>
        <w:ind w:right="567"/>
        <w:jc w:val="both"/>
        <w:rPr>
          <w:rFonts w:ascii="Book Antiqua" w:hAnsi="Book Antiqua" w:eastAsia="Times New Roman" w:cs="Times New Roman"/>
          <w:b/>
          <w:bCs/>
          <w:spacing w:val="-4"/>
        </w:rPr>
      </w:pPr>
    </w:p>
    <w:p>
      <w:pPr>
        <w:spacing w:after="0" w:line="240" w:lineRule="auto"/>
        <w:ind w:right="567"/>
        <w:jc w:val="both"/>
        <w:rPr>
          <w:rFonts w:ascii="Book Antiqua" w:hAnsi="Book Antiqua" w:eastAsia="Times New Roman" w:cs="Times New Roman"/>
          <w:b/>
          <w:bCs/>
          <w:spacing w:val="-4"/>
        </w:rPr>
      </w:pPr>
    </w:p>
    <w:p>
      <w:pPr>
        <w:spacing w:after="0" w:line="240" w:lineRule="auto"/>
        <w:ind w:right="567"/>
        <w:jc w:val="both"/>
        <w:rPr>
          <w:rFonts w:ascii="Book Antiqua" w:hAnsi="Book Antiqua" w:eastAsia="Times New Roman" w:cs="Times New Roman"/>
          <w:b/>
          <w:bCs/>
          <w:spacing w:val="-4"/>
        </w:rPr>
      </w:pPr>
    </w:p>
    <w:p>
      <w:pPr>
        <w:spacing w:after="0" w:line="240" w:lineRule="auto"/>
        <w:ind w:right="567"/>
        <w:jc w:val="both"/>
        <w:rPr>
          <w:rFonts w:ascii="Book Antiqua" w:hAnsi="Book Antiqua" w:eastAsia="Times New Roman" w:cs="Times New Roman"/>
          <w:b/>
          <w:bCs/>
          <w:spacing w:val="-4"/>
        </w:rPr>
      </w:pPr>
    </w:p>
    <w:p>
      <w:pPr>
        <w:spacing w:after="0" w:line="240" w:lineRule="auto"/>
        <w:ind w:right="567"/>
        <w:jc w:val="both"/>
        <w:rPr>
          <w:rFonts w:ascii="Book Antiqua" w:hAnsi="Book Antiqua" w:eastAsia="Times New Roman" w:cs="Times New Roman"/>
          <w:b/>
          <w:bCs/>
          <w:spacing w:val="-4"/>
        </w:rPr>
      </w:pPr>
    </w:p>
    <w:p>
      <w:pPr>
        <w:spacing w:after="0" w:line="240" w:lineRule="auto"/>
        <w:ind w:right="567"/>
        <w:jc w:val="both"/>
        <w:rPr>
          <w:rFonts w:ascii="Book Antiqua" w:hAnsi="Book Antiqua" w:eastAsia="Times New Roman" w:cs="Times New Roman"/>
          <w:b/>
          <w:bCs/>
          <w:spacing w:val="-4"/>
        </w:rPr>
      </w:pPr>
    </w:p>
    <w:p>
      <w:pPr>
        <w:spacing w:after="0" w:line="240" w:lineRule="auto"/>
        <w:ind w:right="567"/>
        <w:jc w:val="both"/>
        <w:rPr>
          <w:rFonts w:ascii="Book Antiqua" w:hAnsi="Book Antiqua" w:eastAsia="Times New Roman" w:cs="Times New Roman"/>
          <w:b/>
          <w:bCs/>
          <w:spacing w:val="-4"/>
        </w:rPr>
      </w:pPr>
    </w:p>
    <w:p>
      <w:pPr>
        <w:spacing w:after="0" w:line="240" w:lineRule="auto"/>
        <w:ind w:right="567"/>
        <w:jc w:val="both"/>
        <w:rPr>
          <w:rFonts w:ascii="Book Antiqua" w:hAnsi="Book Antiqua" w:eastAsia="Times New Roman" w:cs="Times New Roman"/>
          <w:b/>
          <w:bCs/>
          <w:spacing w:val="-4"/>
        </w:rPr>
      </w:pPr>
    </w:p>
    <w:p>
      <w:pPr>
        <w:spacing w:after="0" w:line="240" w:lineRule="auto"/>
        <w:ind w:right="567"/>
        <w:jc w:val="both"/>
        <w:rPr>
          <w:rFonts w:ascii="Book Antiqua" w:hAnsi="Book Antiqua" w:eastAsia="Times New Roman" w:cs="Times New Roman"/>
          <w:b/>
          <w:bCs/>
          <w:spacing w:val="-4"/>
        </w:rPr>
      </w:pP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7E6E6"/>
        <w:tblLayout w:type="autofit"/>
        <w:tblCellMar>
          <w:top w:w="0" w:type="dxa"/>
          <w:left w:w="108" w:type="dxa"/>
          <w:bottom w:w="0" w:type="dxa"/>
          <w:right w:w="108" w:type="dxa"/>
        </w:tblCellMar>
      </w:tblPr>
      <w:tblGrid>
        <w:gridCol w:w="90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7E6E6"/>
        </w:tblPrEx>
        <w:tc>
          <w:tcPr>
            <w:tcW w:w="9016" w:type="dxa"/>
            <w:shd w:val="clear" w:color="auto" w:fill="E7E6E6"/>
          </w:tcPr>
          <w:p>
            <w:pPr>
              <w:spacing w:after="0" w:line="240" w:lineRule="auto"/>
              <w:jc w:val="both"/>
              <w:rPr>
                <w:rFonts w:ascii="Book Antiqua" w:hAnsi="Book Antiqua" w:eastAsia="Times New Roman" w:cs="Times New Roman"/>
                <w:b/>
                <w:bCs/>
                <w:i/>
                <w:iCs/>
                <w:color w:val="2F5496"/>
                <w:spacing w:val="-4"/>
                <w:sz w:val="18"/>
                <w:szCs w:val="18"/>
                <w:lang w:val="en-US"/>
              </w:rPr>
            </w:pPr>
            <w:r>
              <w:rPr>
                <w:rFonts w:ascii="Book Antiqua" w:hAnsi="Book Antiqua" w:eastAsia="Times New Roman" w:cs="Times New Roman"/>
                <w:b/>
                <w:bCs/>
                <w:i/>
                <w:iCs/>
                <w:color w:val="2F5496"/>
                <w:spacing w:val="-4"/>
                <w:sz w:val="18"/>
                <w:szCs w:val="18"/>
                <w:lang w:val="en-US"/>
              </w:rPr>
              <w:t xml:space="preserve">Citation: </w:t>
            </w:r>
          </w:p>
          <w:p>
            <w:pPr>
              <w:spacing w:after="0" w:line="240" w:lineRule="auto"/>
              <w:ind w:right="567"/>
              <w:jc w:val="both"/>
              <w:rPr>
                <w:rFonts w:ascii="Book Antiqua" w:hAnsi="Book Antiqua" w:eastAsia="Times New Roman" w:cs="Times New Roman"/>
                <w:color w:val="2F5496"/>
                <w:spacing w:val="-4"/>
                <w:sz w:val="20"/>
                <w:szCs w:val="20"/>
                <w:lang w:val="en-US"/>
              </w:rPr>
            </w:pPr>
            <w:r>
              <w:rPr>
                <w:rFonts w:hint="default" w:ascii="Book Antiqua" w:hAnsi="Book Antiqua" w:eastAsia="Times New Roman"/>
                <w:color w:val="2F5496"/>
                <w:spacing w:val="-4"/>
                <w:sz w:val="18"/>
                <w:szCs w:val="18"/>
                <w:lang w:val="en-US"/>
              </w:rPr>
              <w:t>Jamilah, .Sadiqin, I. K*, Fahmi</w:t>
            </w:r>
            <w:r>
              <w:rPr>
                <w:rFonts w:ascii="Book Antiqua" w:hAnsi="Book Antiqua" w:eastAsia="Times New Roman" w:cs="Times New Roman"/>
                <w:color w:val="2F5496"/>
                <w:spacing w:val="-4"/>
                <w:sz w:val="18"/>
                <w:szCs w:val="18"/>
                <w:lang w:val="en-US"/>
              </w:rPr>
              <w:t xml:space="preserve">. (2022). </w:t>
            </w:r>
            <w:r>
              <w:rPr>
                <w:rFonts w:hint="default" w:ascii="Book Antiqua" w:hAnsi="Book Antiqua" w:eastAsia="Times New Roman" w:cs="Times New Roman"/>
                <w:color w:val="2F5496"/>
                <w:spacing w:val="-4"/>
                <w:sz w:val="18"/>
                <w:szCs w:val="18"/>
                <w:lang w:val="en-US"/>
              </w:rPr>
              <w:t>Studi eksplorasi literasi aspek pengetahuan lingkungan lahan basah  siswa SD adiwiyata di banjarmasin.</w:t>
            </w:r>
            <w:r>
              <w:rPr>
                <w:rFonts w:ascii="Book Antiqua" w:hAnsi="Book Antiqua" w:eastAsia="Times New Roman" w:cs="Times New Roman"/>
                <w:color w:val="2F5496"/>
                <w:spacing w:val="-4"/>
                <w:sz w:val="18"/>
                <w:szCs w:val="18"/>
                <w:lang w:val="en-US"/>
              </w:rPr>
              <w:t>. Journal of Banua Science Education, 3(1), 9-15.</w:t>
            </w:r>
          </w:p>
        </w:tc>
      </w:tr>
    </w:tbl>
    <w:p>
      <w:pPr>
        <w:tabs>
          <w:tab w:val="left" w:pos="5295"/>
        </w:tabs>
        <w:spacing w:after="0" w:line="240" w:lineRule="auto"/>
        <w:ind w:right="567"/>
        <w:jc w:val="both"/>
        <w:rPr>
          <w:rFonts w:ascii="Book Antiqua" w:hAnsi="Book Antiqua" w:eastAsia="Times New Roman" w:cs="Times New Roman"/>
          <w:b/>
          <w:bCs/>
          <w:spacing w:val="-4"/>
        </w:rPr>
      </w:pPr>
    </w:p>
    <w:p>
      <w:pPr>
        <w:spacing w:after="0" w:line="240" w:lineRule="auto"/>
        <w:ind w:right="567"/>
        <w:jc w:val="both"/>
        <w:rPr>
          <w:rFonts w:ascii="Book Antiqua" w:hAnsi="Book Antiqua" w:eastAsia="Times New Roman" w:cs="Times New Roman"/>
          <w:i/>
          <w:iCs/>
          <w:color w:val="4472C4"/>
          <w:spacing w:val="-4"/>
          <w:sz w:val="16"/>
          <w:szCs w:val="16"/>
        </w:rPr>
      </w:pPr>
      <w:r>
        <w:rPr>
          <w:rFonts w:ascii="Book Antiqua" w:hAnsi="Book Antiqua" w:eastAsia="Times New Roman" w:cs="Times New Roman"/>
          <w:i/>
          <w:iCs/>
          <w:color w:val="4472C4"/>
          <w:spacing w:val="-4"/>
          <w:sz w:val="16"/>
          <w:szCs w:val="16"/>
        </w:rPr>
        <w:t>*Abstrak dalam bahasa Inggris pada bagian akhir halaman jurnal.</w:t>
      </w:r>
    </w:p>
    <w:p>
      <w:pPr>
        <w:rPr>
          <w:rFonts w:ascii="Book Antiqua" w:hAnsi="Book Antiqua" w:eastAsia="Times New Roman" w:cs="Times New Roman"/>
          <w:b/>
          <w:bCs/>
          <w:spacing w:val="-4"/>
          <w:sz w:val="24"/>
          <w:szCs w:val="24"/>
        </w:rPr>
      </w:pPr>
      <w:r>
        <w:rPr>
          <w:rFonts w:ascii="Book Antiqua" w:hAnsi="Book Antiqua" w:eastAsia="Times New Roman" w:cs="Times New Roman"/>
          <w:b/>
          <w:bCs/>
          <w:spacing w:val="-4"/>
          <w:sz w:val="24"/>
          <w:szCs w:val="24"/>
        </w:rPr>
        <w:br w:type="page"/>
      </w:r>
    </w:p>
    <w:p>
      <w:pPr>
        <w:spacing w:after="0" w:line="240" w:lineRule="auto"/>
        <w:ind w:right="567"/>
        <w:jc w:val="both"/>
        <w:rPr>
          <w:rFonts w:ascii="Book Antiqua" w:hAnsi="Book Antiqua" w:eastAsia="Times New Roman" w:cs="Times New Roman"/>
          <w:b/>
          <w:bCs/>
          <w:spacing w:val="-4"/>
          <w:sz w:val="24"/>
          <w:szCs w:val="24"/>
        </w:rPr>
      </w:pPr>
      <w:r>
        <w:rPr>
          <w:rFonts w:ascii="Book Antiqua" w:hAnsi="Book Antiqua" w:eastAsia="Times New Roman" w:cs="Times New Roman"/>
          <w:b/>
          <w:bCs/>
          <w:spacing w:val="-4"/>
          <w:sz w:val="24"/>
          <w:szCs w:val="24"/>
        </w:rPr>
        <w:t>Introduction</w:t>
      </w:r>
    </w:p>
    <w:p>
      <w:pPr>
        <w:pStyle w:val="18"/>
        <w:spacing w:line="240" w:lineRule="auto"/>
        <w:ind w:firstLine="567"/>
        <w:rPr>
          <w:rStyle w:val="29"/>
          <w:rFonts w:eastAsia="SimSun"/>
          <w:sz w:val="24"/>
          <w:szCs w:val="24"/>
          <w:shd w:val="clear" w:color="auto" w:fill="FFFFFF"/>
          <w:lang w:val="zh-CN"/>
        </w:rPr>
      </w:pPr>
      <w:r>
        <w:rPr>
          <w:rFonts w:ascii="Book Antiqua" w:hAnsi="Book Antiqua"/>
          <w:lang w:val="zh-CN"/>
        </w:rPr>
        <w:t xml:space="preserve">Pandemi Covid-19 menyebabkan perubahan pandangan kehidupan di segala bidang, termasuk pendidikan. Pendidikan di Indonesia dihadapkan proses pembelajaran jarak jauh (PJJ). Bagaimana proses dari kegiatan pembelajaran jarak jauh telah lama di pahami di Negara Indonesia, namun dalam kegiatannya tidak semua sekolah melakukan dan dapat melaksanakannya secara maksimal. Meskipun telah dituangkan pada Panduan Pembelajaran Jarak Jauh, terutama pada saat sekolah di tutup dikarenakan covid, namun dengan semangat Merdeka Belajar oleh Direktorat Jendral Guru dan Tenaga Kependidikan, Kementrian Pendidikan dan Kebudayaan (Kemendikbud) bahwa belajar dari rumah terus berjalan maksimal Kemendikbud mengedarkan kebijakan untuk guru.  </w:t>
      </w:r>
    </w:p>
    <w:p>
      <w:pPr>
        <w:pStyle w:val="18"/>
        <w:spacing w:line="240" w:lineRule="auto"/>
        <w:ind w:firstLine="567"/>
        <w:rPr>
          <w:rStyle w:val="29"/>
          <w:rFonts w:eastAsia="SimSun"/>
          <w:sz w:val="24"/>
          <w:szCs w:val="24"/>
          <w:shd w:val="clear" w:color="auto" w:fill="FFFFFF"/>
          <w:lang w:val="id-ID"/>
        </w:rPr>
      </w:pPr>
      <w:r>
        <w:rPr>
          <w:rStyle w:val="29"/>
          <w:rFonts w:eastAsia="SimSun"/>
          <w:sz w:val="24"/>
          <w:szCs w:val="24"/>
          <w:shd w:val="clear" w:color="auto" w:fill="FFFFFF"/>
          <w:lang w:val="en-US"/>
        </w:rPr>
        <w:t xml:space="preserve">Berbagai </w:t>
      </w:r>
      <w:r>
        <w:rPr>
          <w:rStyle w:val="29"/>
          <w:rFonts w:eastAsia="SimSun"/>
          <w:sz w:val="24"/>
          <w:szCs w:val="24"/>
          <w:shd w:val="clear" w:color="auto" w:fill="FFFFFF"/>
          <w:lang w:val="id-ID"/>
        </w:rPr>
        <w:t>kerusakan lingkungan seperti pencemaran, global</w:t>
      </w:r>
      <w:r>
        <w:rPr>
          <w:rStyle w:val="29"/>
          <w:rFonts w:eastAsia="SimSun"/>
          <w:sz w:val="24"/>
          <w:szCs w:val="24"/>
          <w:shd w:val="clear" w:color="auto" w:fill="FFFFFF"/>
          <w:lang w:val="en-US"/>
        </w:rPr>
        <w:t xml:space="preserve"> warming </w:t>
      </w:r>
      <w:r>
        <w:rPr>
          <w:rStyle w:val="29"/>
          <w:rFonts w:eastAsia="SimSun"/>
          <w:sz w:val="24"/>
          <w:szCs w:val="24"/>
          <w:shd w:val="clear" w:color="auto" w:fill="FFFFFF"/>
          <w:lang w:val="id-ID"/>
        </w:rPr>
        <w:t xml:space="preserve">hingga </w:t>
      </w:r>
      <w:r>
        <w:rPr>
          <w:rStyle w:val="29"/>
          <w:rFonts w:eastAsia="SimSun"/>
          <w:sz w:val="24"/>
          <w:szCs w:val="24"/>
          <w:shd w:val="clear" w:color="auto" w:fill="FFFFFF"/>
          <w:lang w:val="en-US"/>
        </w:rPr>
        <w:t xml:space="preserve">perusakan alam </w:t>
      </w:r>
      <w:r>
        <w:rPr>
          <w:rStyle w:val="29"/>
          <w:rFonts w:eastAsia="SimSun"/>
          <w:sz w:val="24"/>
          <w:szCs w:val="24"/>
          <w:shd w:val="clear" w:color="auto" w:fill="FFFFFF"/>
          <w:lang w:val="id-ID"/>
        </w:rPr>
        <w:t>tengah dialami</w:t>
      </w:r>
      <w:r>
        <w:rPr>
          <w:rStyle w:val="29"/>
          <w:rFonts w:eastAsia="SimSun"/>
          <w:sz w:val="24"/>
          <w:szCs w:val="24"/>
          <w:shd w:val="clear" w:color="auto" w:fill="FFFFFF"/>
          <w:lang w:val="en-US"/>
        </w:rPr>
        <w:t xml:space="preserve"> lingkungan sekitar</w:t>
      </w:r>
      <w:r>
        <w:rPr>
          <w:rStyle w:val="29"/>
          <w:rFonts w:eastAsia="SimSun"/>
          <w:sz w:val="24"/>
          <w:szCs w:val="24"/>
          <w:shd w:val="clear" w:color="auto" w:fill="FFFFFF"/>
          <w:lang w:val="id-ID"/>
        </w:rPr>
        <w:t>. Kerusakan lingkungan seperti</w:t>
      </w:r>
      <w:r>
        <w:rPr>
          <w:rStyle w:val="29"/>
          <w:rFonts w:eastAsia="SimSun"/>
          <w:sz w:val="24"/>
          <w:szCs w:val="24"/>
          <w:shd w:val="clear" w:color="auto" w:fill="FFFFFF"/>
          <w:lang w:val="en-US"/>
        </w:rPr>
        <w:t xml:space="preserve"> </w:t>
      </w:r>
      <w:r>
        <w:rPr>
          <w:rStyle w:val="29"/>
          <w:rFonts w:eastAsia="SimSun"/>
          <w:sz w:val="24"/>
          <w:szCs w:val="24"/>
          <w:shd w:val="clear" w:color="auto" w:fill="FFFFFF"/>
          <w:lang w:val="id-ID"/>
        </w:rPr>
        <w:t>penebangan hutan secara liar maupun untuk kebutuhan industri terjadi di hampir di</w:t>
      </w:r>
      <w:r>
        <w:rPr>
          <w:rStyle w:val="29"/>
          <w:rFonts w:eastAsia="SimSun"/>
          <w:sz w:val="24"/>
          <w:szCs w:val="24"/>
          <w:shd w:val="clear" w:color="auto" w:fill="FFFFFF"/>
          <w:lang w:val="en-US"/>
        </w:rPr>
        <w:t xml:space="preserve"> </w:t>
      </w:r>
      <w:r>
        <w:rPr>
          <w:rStyle w:val="29"/>
          <w:rFonts w:eastAsia="SimSun"/>
          <w:sz w:val="24"/>
          <w:szCs w:val="24"/>
          <w:shd w:val="clear" w:color="auto" w:fill="FFFFFF"/>
          <w:lang w:val="id-ID"/>
        </w:rPr>
        <w:t>semua negara</w:t>
      </w:r>
      <w:r>
        <w:rPr>
          <w:rStyle w:val="29"/>
          <w:rFonts w:eastAsia="SimSun"/>
          <w:sz w:val="24"/>
          <w:szCs w:val="24"/>
          <w:shd w:val="clear" w:color="auto" w:fill="FFFFFF"/>
          <w:lang w:val="en-US"/>
        </w:rPr>
        <w:t xml:space="preserve">. </w:t>
      </w:r>
      <w:r>
        <w:rPr>
          <w:rStyle w:val="29"/>
          <w:rFonts w:eastAsia="SimSun"/>
          <w:sz w:val="24"/>
          <w:szCs w:val="24"/>
          <w:shd w:val="clear" w:color="auto" w:fill="FFFFFF"/>
          <w:lang w:val="id-ID"/>
        </w:rPr>
        <w:t>Mulai dari banjir, kekeringan, pembalakan liar,</w:t>
      </w:r>
      <w:r>
        <w:rPr>
          <w:rStyle w:val="29"/>
          <w:rFonts w:eastAsia="SimSun"/>
          <w:sz w:val="24"/>
          <w:szCs w:val="24"/>
          <w:shd w:val="clear" w:color="auto" w:fill="FFFFFF"/>
          <w:lang w:val="en-US"/>
        </w:rPr>
        <w:t xml:space="preserve"> </w:t>
      </w:r>
      <w:r>
        <w:rPr>
          <w:rStyle w:val="29"/>
          <w:rFonts w:eastAsia="SimSun"/>
          <w:sz w:val="24"/>
          <w:szCs w:val="24"/>
          <w:shd w:val="clear" w:color="auto" w:fill="FFFFFF"/>
          <w:lang w:val="id-ID"/>
        </w:rPr>
        <w:t>serta penggunaan sumber daya alam secara berlebihan</w:t>
      </w:r>
      <w:r>
        <w:rPr>
          <w:rStyle w:val="29"/>
          <w:rFonts w:eastAsia="SimSun"/>
          <w:sz w:val="24"/>
          <w:szCs w:val="24"/>
          <w:shd w:val="clear" w:color="auto" w:fill="FFFFFF"/>
          <w:lang w:val="en-US"/>
        </w:rPr>
        <w:t xml:space="preserve"> (Anggraini, et al, 2021)</w:t>
      </w:r>
      <w:r>
        <w:rPr>
          <w:rStyle w:val="29"/>
          <w:rFonts w:eastAsia="SimSun"/>
          <w:sz w:val="24"/>
          <w:szCs w:val="24"/>
          <w:shd w:val="clear" w:color="auto" w:fill="FFFFFF"/>
          <w:lang w:val="id-ID"/>
        </w:rPr>
        <w:t>.</w:t>
      </w:r>
      <w:r>
        <w:rPr>
          <w:rStyle w:val="29"/>
          <w:rFonts w:eastAsia="SimSun"/>
          <w:sz w:val="24"/>
          <w:szCs w:val="24"/>
          <w:shd w:val="clear" w:color="auto" w:fill="FFFFFF"/>
          <w:lang w:val="en-US"/>
        </w:rPr>
        <w:t xml:space="preserve"> A</w:t>
      </w:r>
      <w:r>
        <w:rPr>
          <w:rStyle w:val="29"/>
          <w:rFonts w:eastAsia="SimSun"/>
          <w:sz w:val="24"/>
          <w:szCs w:val="24"/>
          <w:shd w:val="clear" w:color="auto" w:fill="FFFFFF"/>
          <w:lang w:val="id-ID"/>
        </w:rPr>
        <w:t xml:space="preserve">ktifitas manusia lebih memberikan dampak </w:t>
      </w:r>
      <w:r>
        <w:rPr>
          <w:rStyle w:val="29"/>
          <w:rFonts w:eastAsia="SimSun"/>
          <w:sz w:val="24"/>
          <w:szCs w:val="24"/>
          <w:shd w:val="clear" w:color="auto" w:fill="FFFFFF"/>
          <w:lang w:val="en-US"/>
        </w:rPr>
        <w:t xml:space="preserve">perusak </w:t>
      </w:r>
      <w:r>
        <w:rPr>
          <w:rStyle w:val="29"/>
          <w:rFonts w:eastAsia="SimSun"/>
          <w:sz w:val="24"/>
          <w:szCs w:val="24"/>
          <w:shd w:val="clear" w:color="auto" w:fill="FFFFFF"/>
          <w:lang w:val="id-ID"/>
        </w:rPr>
        <w:t>yang signifikan</w:t>
      </w:r>
      <w:r>
        <w:rPr>
          <w:rStyle w:val="29"/>
          <w:rFonts w:eastAsia="SimSun"/>
          <w:sz w:val="24"/>
          <w:szCs w:val="24"/>
          <w:shd w:val="clear" w:color="auto" w:fill="FFFFFF"/>
          <w:lang w:val="en-US"/>
        </w:rPr>
        <w:t xml:space="preserve"> </w:t>
      </w:r>
      <w:r>
        <w:rPr>
          <w:rStyle w:val="29"/>
          <w:rFonts w:eastAsia="SimSun"/>
          <w:sz w:val="24"/>
          <w:szCs w:val="24"/>
          <w:shd w:val="clear" w:color="auto" w:fill="FFFFFF"/>
          <w:lang w:val="id-ID"/>
        </w:rPr>
        <w:t>terhadap perubahan iklim dan lingkungan.. Fakta di atas menunjukkan dampak dari perilaku tidak</w:t>
      </w:r>
      <w:r>
        <w:rPr>
          <w:rStyle w:val="29"/>
          <w:rFonts w:eastAsia="SimSun"/>
          <w:sz w:val="24"/>
          <w:szCs w:val="24"/>
          <w:shd w:val="clear" w:color="auto" w:fill="FFFFFF"/>
          <w:lang w:val="en-US"/>
        </w:rPr>
        <w:t xml:space="preserve"> </w:t>
      </w:r>
      <w:r>
        <w:rPr>
          <w:rStyle w:val="29"/>
          <w:rFonts w:eastAsia="SimSun"/>
          <w:sz w:val="24"/>
          <w:szCs w:val="24"/>
          <w:shd w:val="clear" w:color="auto" w:fill="FFFFFF"/>
          <w:lang w:val="id-ID"/>
        </w:rPr>
        <w:t>peduli masyarakat terhadap lingkungan tempat tinggalnya. Bahkan, kepedulian</w:t>
      </w:r>
      <w:r>
        <w:rPr>
          <w:rStyle w:val="29"/>
          <w:rFonts w:eastAsia="SimSun"/>
          <w:sz w:val="24"/>
          <w:szCs w:val="24"/>
          <w:shd w:val="clear" w:color="auto" w:fill="FFFFFF"/>
          <w:lang w:val="en-US"/>
        </w:rPr>
        <w:t xml:space="preserve"> </w:t>
      </w:r>
      <w:r>
        <w:rPr>
          <w:rStyle w:val="29"/>
          <w:rFonts w:eastAsia="SimSun"/>
          <w:sz w:val="24"/>
          <w:szCs w:val="24"/>
          <w:shd w:val="clear" w:color="auto" w:fill="FFFFFF"/>
          <w:lang w:val="id-ID"/>
        </w:rPr>
        <w:t>peserta didik terhadap terhadap lingkungan hidup dan pembangunan berwawasan</w:t>
      </w:r>
      <w:r>
        <w:rPr>
          <w:rStyle w:val="29"/>
          <w:rFonts w:eastAsia="SimSun"/>
          <w:sz w:val="24"/>
          <w:szCs w:val="24"/>
          <w:shd w:val="clear" w:color="auto" w:fill="FFFFFF"/>
          <w:lang w:val="en-US"/>
        </w:rPr>
        <w:t xml:space="preserve"> </w:t>
      </w:r>
      <w:r>
        <w:rPr>
          <w:rStyle w:val="29"/>
          <w:rFonts w:eastAsia="SimSun"/>
          <w:sz w:val="24"/>
          <w:szCs w:val="24"/>
          <w:shd w:val="clear" w:color="auto" w:fill="FFFFFF"/>
          <w:lang w:val="id-ID"/>
        </w:rPr>
        <w:t>lingkungan juga masih rendah (Nurfitriani et al., 2017; Wahyuningtyas, 2013).</w:t>
      </w:r>
    </w:p>
    <w:p>
      <w:pPr>
        <w:pStyle w:val="18"/>
        <w:spacing w:line="240" w:lineRule="auto"/>
        <w:ind w:firstLine="567"/>
        <w:rPr>
          <w:sz w:val="24"/>
          <w:szCs w:val="24"/>
          <w:lang w:val="en-GB"/>
        </w:rPr>
      </w:pPr>
      <w:r>
        <w:rPr>
          <w:rStyle w:val="29"/>
          <w:rFonts w:eastAsia="SimSun"/>
          <w:sz w:val="24"/>
          <w:szCs w:val="24"/>
          <w:shd w:val="clear" w:color="auto" w:fill="FFFFFF"/>
          <w:lang w:val="en-US"/>
        </w:rPr>
        <w:t xml:space="preserve">Fenomena tersebut menandakan kurangnya pemahaman dan kesadaran masyarakat tentang pengelolaan lingkungan.  Laporan dari </w:t>
      </w:r>
      <w:r>
        <w:rPr>
          <w:rStyle w:val="29"/>
          <w:rFonts w:eastAsia="SimSun"/>
          <w:sz w:val="24"/>
          <w:szCs w:val="24"/>
          <w:shd w:val="clear" w:color="auto" w:fill="FFFFFF"/>
          <w:lang w:val="en-GB"/>
        </w:rPr>
        <w:t xml:space="preserve">Nurfitriani, Karyanto &amp; Prayitno (2017) dan Wahyuningtyas (2013) di lingkungan pendidikan kepedulian siswa terhadap lingkungan hidup dan pembangunan berwawasan lingkungan juga masih dalam </w:t>
      </w:r>
      <w:r>
        <w:rPr>
          <w:rStyle w:val="29"/>
          <w:rFonts w:eastAsia="SimSun"/>
          <w:sz w:val="24"/>
          <w:szCs w:val="24"/>
          <w:shd w:val="clear" w:color="auto" w:fill="FFFFFF"/>
          <w:lang w:val="en-US"/>
        </w:rPr>
        <w:t xml:space="preserve"> </w:t>
      </w:r>
      <w:r>
        <w:rPr>
          <w:rStyle w:val="29"/>
          <w:rFonts w:eastAsia="SimSun"/>
          <w:sz w:val="24"/>
          <w:szCs w:val="24"/>
          <w:shd w:val="clear" w:color="auto" w:fill="FFFFFF"/>
          <w:lang w:val="en-GB"/>
        </w:rPr>
        <w:t xml:space="preserve">kategori kurang. </w:t>
      </w:r>
      <w:r>
        <w:rPr>
          <w:rStyle w:val="29"/>
          <w:rFonts w:eastAsia="SimSun"/>
          <w:sz w:val="24"/>
          <w:szCs w:val="24"/>
          <w:shd w:val="clear" w:color="auto" w:fill="FFFFFF"/>
          <w:lang w:val="en-US"/>
        </w:rPr>
        <w:t>Faktor utamanya adalah literasi pengelolaan lingkungan masih minim. Penanaman literasi</w:t>
      </w:r>
      <w:r>
        <w:rPr>
          <w:rStyle w:val="29"/>
          <w:rFonts w:eastAsia="SimSun"/>
          <w:sz w:val="24"/>
          <w:szCs w:val="24"/>
          <w:shd w:val="clear" w:color="auto" w:fill="FFFFFF"/>
          <w:lang w:val="en-GB"/>
        </w:rPr>
        <w:t xml:space="preserve"> </w:t>
      </w:r>
      <w:r>
        <w:rPr>
          <w:rStyle w:val="29"/>
          <w:rFonts w:eastAsia="SimSun"/>
          <w:sz w:val="24"/>
          <w:szCs w:val="24"/>
          <w:shd w:val="clear" w:color="auto" w:fill="FFFFFF"/>
          <w:lang w:val="en-US"/>
        </w:rPr>
        <w:t>harus diyakini kebenarannya dan diterapkan di kehidupan sehari-hari. Seyogyanya penanaman pengetahuan dan karakter tersebut dimulai dari usia dini seperti SD. Ketika anak SD meyakini kebenarannya dari kecil nilai luhur akan terpatri dihati. Terpenting, dapat menerapkan</w:t>
      </w:r>
      <w:r>
        <w:rPr>
          <w:sz w:val="24"/>
          <w:szCs w:val="24"/>
          <w:lang w:val="en-US"/>
        </w:rPr>
        <w:t xml:space="preserve"> karakter cinta lingkungan dari usia kecil, remaja hingga dewasa. Sebuah proses panjang yang memungkinkan karakter tersebut betul-betul menjadi habit.</w:t>
      </w:r>
    </w:p>
    <w:p>
      <w:pPr>
        <w:pStyle w:val="18"/>
        <w:spacing w:line="240" w:lineRule="auto"/>
        <w:ind w:firstLine="567"/>
        <w:rPr>
          <w:sz w:val="24"/>
          <w:szCs w:val="24"/>
          <w:lang w:val="en-US"/>
        </w:rPr>
      </w:pPr>
      <w:r>
        <w:rPr>
          <w:sz w:val="24"/>
          <w:szCs w:val="24"/>
          <w:lang w:val="en-US"/>
        </w:rPr>
        <w:t>Peran literasi terhadap perbaikan kesadaran lingkungan hidup semakin diakui. Riset oleh Pratama dkk (2020) melaporkan bahwa penanaman literasi melalui pendidikan lingkungan hidup di  Sekolah berpengaruh signifikan terhadap kesadaran menjaga lingkungan hidup. Oktarina dkk (2020) bahkan berhasil menggerakkan perilaku hidup ramah lingkungan di SD melalui pendidikan literasi lingkungan. Siswa SD mampu diarahkan mengelola lingkungan melalui bercocok tanam dan menjaga kebersihan lingkungan dengan piket kelas dan gotong royong, pengolahan sampah plastik dan bank sampah.</w:t>
      </w:r>
    </w:p>
    <w:p>
      <w:pPr>
        <w:pStyle w:val="18"/>
        <w:spacing w:line="240" w:lineRule="auto"/>
        <w:ind w:firstLine="567"/>
        <w:rPr>
          <w:sz w:val="24"/>
          <w:lang w:val="en-GB" w:eastAsia="id-ID"/>
        </w:rPr>
      </w:pPr>
      <w:r>
        <w:rPr>
          <w:sz w:val="24"/>
          <w:szCs w:val="24"/>
          <w:lang w:val="en-GB"/>
        </w:rPr>
        <w:t xml:space="preserve">Penanaman </w:t>
      </w:r>
      <w:r>
        <w:rPr>
          <w:sz w:val="24"/>
          <w:szCs w:val="24"/>
        </w:rPr>
        <w:t>literasi</w:t>
      </w:r>
      <w:r>
        <w:rPr>
          <w:sz w:val="24"/>
          <w:szCs w:val="24"/>
          <w:lang w:val="en-GB"/>
        </w:rPr>
        <w:t xml:space="preserve"> lingkungan terhadap lingkungan lahan basah di Kalimantan Selatan menjadi penting karena</w:t>
      </w:r>
      <w:r>
        <w:rPr>
          <w:sz w:val="24"/>
          <w:szCs w:val="24"/>
        </w:rPr>
        <w:t xml:space="preserve"> </w:t>
      </w:r>
      <w:r>
        <w:rPr>
          <w:sz w:val="24"/>
          <w:szCs w:val="24"/>
          <w:lang w:val="en-GB"/>
        </w:rPr>
        <w:t xml:space="preserve">secara geografis daerah ini </w:t>
      </w:r>
      <w:r>
        <w:rPr>
          <w:sz w:val="24"/>
          <w:szCs w:val="24"/>
        </w:rPr>
        <w:t xml:space="preserve">unik. Mayoritas berupa </w:t>
      </w:r>
      <w:r>
        <w:rPr>
          <w:sz w:val="24"/>
          <w:szCs w:val="24"/>
          <w:lang w:val="en-GB"/>
        </w:rPr>
        <w:t>wilayah dataran rendah yang luas yang tergolong dalam lahan basah</w:t>
      </w:r>
      <w:r>
        <w:rPr>
          <w:sz w:val="24"/>
          <w:szCs w:val="24"/>
        </w:rPr>
        <w:t>. Lahan basah yang didapati</w:t>
      </w:r>
      <w:r>
        <w:rPr>
          <w:sz w:val="24"/>
          <w:szCs w:val="24"/>
          <w:lang w:val="en-GB"/>
        </w:rPr>
        <w:t xml:space="preserve"> meliputi lingkungan sungai, lingkungan rawa, lingkungan air tawar, lingkungan air payau dan sebagainya yang selalu tergenang air sepanjang tahun. Kabupaten Banjar merupakan salah </w:t>
      </w:r>
      <w:r>
        <w:rPr>
          <w:sz w:val="24"/>
          <w:lang w:val="en-GB" w:eastAsia="id-ID"/>
        </w:rPr>
        <w:t>satu dari 13 Kabupaten dan kota yang berada di Pro</w:t>
      </w:r>
      <w:r>
        <w:rPr>
          <w:sz w:val="24"/>
          <w:lang w:val="en-US" w:eastAsia="id-ID"/>
        </w:rPr>
        <w:t>v</w:t>
      </w:r>
      <w:r>
        <w:rPr>
          <w:sz w:val="24"/>
          <w:lang w:val="en-GB" w:eastAsia="id-ID"/>
        </w:rPr>
        <w:t>insi Kalimantan Selatan, yang memiliki potensi lahan basah yang cukup besar baik itu lahan pertanian, lahan gambut, rawa, hutan dan sungai (Sya’ban, Sholahuddin, Annur dan Riefani, 2017).</w:t>
      </w:r>
    </w:p>
    <w:p>
      <w:pPr>
        <w:pStyle w:val="18"/>
        <w:spacing w:line="240" w:lineRule="auto"/>
        <w:ind w:firstLine="567"/>
        <w:rPr>
          <w:i/>
          <w:iCs/>
          <w:sz w:val="24"/>
          <w:lang w:val="en-US"/>
        </w:rPr>
      </w:pPr>
      <w:r>
        <w:rPr>
          <w:sz w:val="24"/>
          <w:lang w:val="en-US" w:eastAsia="id-ID"/>
        </w:rPr>
        <w:t>Berdasarkan kesenjangan antara fakta dan harapan tersebut perlu diadakan evaluasi awal pengetahuan siswa terhadap pengelolaan bijak sumber daya alam lahan basah. Penelitian berfungsi untuk memetakan tingkat literasi siswa, hasil pemetaan bisa dijadikan dasar pertimbangan kebijakan dalam perbaikan cara siswa SD belajar merawat lingkungan.  Berdasarkan studi dapat diketahui tingkat pemahaman siswa dan miskonsepsinya sehingga dapat menjadi pertimbangan apakah sudah betul pemahaman siswa dalam</w:t>
      </w:r>
      <w:r>
        <w:rPr>
          <w:sz w:val="24"/>
          <w:lang w:val="en-US"/>
        </w:rPr>
        <w:t xml:space="preserve"> berperilaku </w:t>
      </w:r>
      <w:r>
        <w:rPr>
          <w:i/>
          <w:iCs/>
          <w:sz w:val="24"/>
          <w:lang w:val="en-US"/>
        </w:rPr>
        <w:t>go-green.</w:t>
      </w:r>
    </w:p>
    <w:p>
      <w:pPr>
        <w:pStyle w:val="18"/>
        <w:spacing w:line="240" w:lineRule="auto"/>
        <w:ind w:firstLine="567"/>
        <w:rPr>
          <w:i/>
          <w:iCs/>
          <w:sz w:val="24"/>
          <w:lang w:val="en-US"/>
        </w:rPr>
      </w:pPr>
    </w:p>
    <w:p>
      <w:pPr>
        <w:pStyle w:val="18"/>
        <w:spacing w:line="240" w:lineRule="auto"/>
        <w:ind w:firstLine="567"/>
        <w:rPr>
          <w:rFonts w:ascii="Book Antiqua" w:hAnsi="Book Antiqua"/>
          <w:lang w:val="zh-CN"/>
        </w:rPr>
      </w:pPr>
      <w:r>
        <w:rPr>
          <w:rFonts w:ascii="Book Antiqua" w:hAnsi="Book Antiqua"/>
          <w:lang w:val="zh-CN"/>
        </w:rPr>
        <w:t xml:space="preserve"> </w:t>
      </w:r>
    </w:p>
    <w:p>
      <w:pPr>
        <w:pStyle w:val="18"/>
        <w:spacing w:line="240" w:lineRule="auto"/>
        <w:ind w:firstLine="567"/>
        <w:rPr>
          <w:rFonts w:ascii="Book Antiqua" w:hAnsi="Book Antiqua"/>
          <w:lang w:val="zh-CN"/>
        </w:rPr>
      </w:pPr>
    </w:p>
    <w:p>
      <w:pPr>
        <w:pStyle w:val="18"/>
        <w:spacing w:line="240" w:lineRule="auto"/>
        <w:rPr>
          <w:rFonts w:ascii="Book Antiqua" w:hAnsi="Book Antiqua"/>
          <w:b/>
          <w:bCs/>
          <w:sz w:val="24"/>
          <w:szCs w:val="24"/>
          <w:lang w:val="zh-CN"/>
        </w:rPr>
      </w:pPr>
      <w:r>
        <w:rPr>
          <w:rFonts w:ascii="Book Antiqua" w:hAnsi="Book Antiqua"/>
          <w:b/>
          <w:bCs/>
          <w:sz w:val="24"/>
          <w:szCs w:val="24"/>
          <w:lang w:val="zh-CN"/>
        </w:rPr>
        <w:t>Method</w:t>
      </w:r>
    </w:p>
    <w:p>
      <w:pPr>
        <w:spacing w:after="0" w:line="240" w:lineRule="auto"/>
        <w:ind w:firstLine="720" w:firstLineChars="0"/>
        <w:jc w:val="both"/>
        <w:outlineLvl w:val="0"/>
        <w:rPr>
          <w:rFonts w:ascii="Book Antiqua" w:hAnsi="Book Antiqua" w:cs="Book Antiqua"/>
          <w:color w:val="000000"/>
          <w:spacing w:val="-1"/>
        </w:rPr>
      </w:pPr>
      <w:r>
        <w:rPr>
          <w:rFonts w:ascii="Book Antiqua" w:hAnsi="Book Antiqua" w:eastAsia="Times New Roman" w:cs="Times New Roman"/>
          <w:spacing w:val="1"/>
        </w:rPr>
        <w:t>P</w:t>
      </w:r>
      <w:r>
        <w:rPr>
          <w:rFonts w:ascii="Book Antiqua" w:hAnsi="Book Antiqua" w:eastAsia="Times New Roman" w:cs="Times New Roman"/>
          <w:spacing w:val="1"/>
          <w:lang w:val="id-ID"/>
        </w:rPr>
        <w:t xml:space="preserve">enelitian </w:t>
      </w:r>
      <w:r>
        <w:rPr>
          <w:rFonts w:ascii="Book Antiqua" w:hAnsi="Book Antiqua" w:eastAsia="Times New Roman" w:cs="Times New Roman"/>
          <w:spacing w:val="1"/>
        </w:rPr>
        <w:t>yang diusulkan tergolong</w:t>
      </w:r>
      <w:r>
        <w:rPr>
          <w:rFonts w:ascii="Book Antiqua" w:hAnsi="Book Antiqua" w:eastAsia="Times New Roman" w:cs="Times New Roman"/>
          <w:spacing w:val="1"/>
          <w:lang w:val="id-ID"/>
        </w:rPr>
        <w:t xml:space="preserve"> deskriptif</w:t>
      </w:r>
      <w:r>
        <w:rPr>
          <w:rFonts w:ascii="Book Antiqua" w:hAnsi="Book Antiqua" w:eastAsia="Times New Roman" w:cs="Times New Roman"/>
          <w:spacing w:val="1"/>
        </w:rPr>
        <w:t xml:space="preserve"> kuantitatif</w:t>
      </w:r>
      <w:r>
        <w:rPr>
          <w:rFonts w:ascii="Book Antiqua" w:hAnsi="Book Antiqua" w:eastAsia="Times New Roman" w:cs="Times New Roman"/>
          <w:spacing w:val="1"/>
          <w:lang w:val="id-ID"/>
        </w:rPr>
        <w:t>. Penelitian deskriptif bertujuan untuk</w:t>
      </w:r>
      <w:r>
        <w:rPr>
          <w:rFonts w:ascii="Book Antiqua" w:hAnsi="Book Antiqua" w:eastAsia="Times New Roman" w:cs="Times New Roman"/>
          <w:spacing w:val="1"/>
        </w:rPr>
        <w:t xml:space="preserve"> memberi gambaran perihal keberadaan suatu variabel, berupa </w:t>
      </w:r>
      <w:r>
        <w:rPr>
          <w:rFonts w:ascii="Book Antiqua" w:hAnsi="Book Antiqua" w:eastAsia="Times New Roman" w:cs="Times New Roman"/>
          <w:spacing w:val="1"/>
          <w:lang w:val="id-ID"/>
        </w:rPr>
        <w:t>fenomena lapangan (</w:t>
      </w:r>
      <w:r>
        <w:rPr>
          <w:rFonts w:ascii="Book Antiqua" w:hAnsi="Book Antiqua" w:eastAsia="Times New Roman" w:cs="Times New Roman"/>
          <w:spacing w:val="1"/>
        </w:rPr>
        <w:t>Sugiyono</w:t>
      </w:r>
      <w:r>
        <w:rPr>
          <w:rFonts w:ascii="Book Antiqua" w:hAnsi="Book Antiqua" w:eastAsia="Times New Roman" w:cs="Times New Roman"/>
          <w:spacing w:val="1"/>
          <w:lang w:val="id-ID"/>
        </w:rPr>
        <w:t>, 20</w:t>
      </w:r>
      <w:r>
        <w:rPr>
          <w:rFonts w:ascii="Book Antiqua" w:hAnsi="Book Antiqua" w:eastAsia="Times New Roman" w:cs="Times New Roman"/>
          <w:spacing w:val="1"/>
        </w:rPr>
        <w:t>12</w:t>
      </w:r>
      <w:r>
        <w:rPr>
          <w:rFonts w:ascii="Book Antiqua" w:hAnsi="Book Antiqua" w:eastAsia="Times New Roman" w:cs="Times New Roman"/>
          <w:spacing w:val="1"/>
          <w:lang w:val="id-ID"/>
        </w:rPr>
        <w:t>). Fu</w:t>
      </w:r>
      <w:r>
        <w:rPr>
          <w:rFonts w:ascii="Book Antiqua" w:hAnsi="Book Antiqua" w:eastAsia="Times New Roman" w:cs="Book Antiqua"/>
          <w:spacing w:val="1"/>
          <w:lang w:val="id-ID"/>
        </w:rPr>
        <w:t>ngsinya untuk</w:t>
      </w:r>
      <w:r>
        <w:rPr>
          <w:rFonts w:ascii="Book Antiqua" w:hAnsi="Book Antiqua" w:eastAsia="Times New Roman" w:cs="Book Antiqua"/>
          <w:spacing w:val="1"/>
        </w:rPr>
        <w:t xml:space="preserve"> </w:t>
      </w:r>
      <w:r>
        <w:rPr>
          <w:rFonts w:ascii="Book Antiqua" w:hAnsi="Book Antiqua" w:eastAsia="Times New Roman" w:cs="Book Antiqua"/>
          <w:spacing w:val="1"/>
          <w:lang w:val="id-ID"/>
        </w:rPr>
        <w:t xml:space="preserve">menganalisis </w:t>
      </w:r>
      <w:r>
        <w:rPr>
          <w:rFonts w:ascii="Book Antiqua" w:hAnsi="Book Antiqua" w:eastAsia="Times New Roman" w:cs="Book Antiqua"/>
          <w:spacing w:val="1"/>
        </w:rPr>
        <w:t>pengetahuan literasi siswa SD tentang pengelolaan lingkungan lahan basah yang bijak</w:t>
      </w:r>
      <w:r>
        <w:rPr>
          <w:rFonts w:ascii="Book Antiqua" w:hAnsi="Book Antiqua" w:eastAsia="Times New Roman" w:cs="Book Antiqua"/>
          <w:spacing w:val="1"/>
          <w:lang w:val="id-ID"/>
        </w:rPr>
        <w:t>.</w:t>
      </w:r>
      <w:r>
        <w:rPr>
          <w:rFonts w:ascii="Book Antiqua" w:hAnsi="Book Antiqua" w:eastAsia="Times New Roman" w:cs="Book Antiqua"/>
          <w:spacing w:val="1"/>
        </w:rPr>
        <w:t xml:space="preserve"> Indikator pengetahuan literasi lingkungan lahan basah meliputi: pengetahuan</w:t>
      </w:r>
      <w:r>
        <w:rPr>
          <w:rFonts w:ascii="Book Antiqua" w:hAnsi="Book Antiqua" w:cs="Book Antiqua"/>
          <w:color w:val="000000"/>
          <w:spacing w:val="-1"/>
        </w:rPr>
        <w:t xml:space="preserve"> </w:t>
      </w:r>
      <w:r>
        <w:rPr>
          <w:rFonts w:ascii="Book Antiqua" w:hAnsi="Book Antiqua" w:cs="Book Antiqua"/>
          <w:i/>
          <w:color w:val="000000"/>
          <w:spacing w:val="-1"/>
        </w:rPr>
        <w:t>(knowledge)</w:t>
      </w:r>
      <w:r>
        <w:rPr>
          <w:rFonts w:ascii="Book Antiqua" w:hAnsi="Book Antiqua" w:cs="Book Antiqua"/>
          <w:color w:val="000000"/>
          <w:spacing w:val="-1"/>
        </w:rPr>
        <w:t xml:space="preserve"> flora fauna lahan basah,  sifat perairan lahan basah, pengelolaan lahan basah serta pelestarian lahan basah. Pembahasan disajikan secara deskriptif kualitatif berdasarkan dari data kuantitatif berupa test dan wawancara.</w:t>
      </w:r>
    </w:p>
    <w:p>
      <w:pPr>
        <w:spacing w:after="0" w:line="240" w:lineRule="auto"/>
        <w:ind w:firstLine="567"/>
        <w:jc w:val="both"/>
        <w:outlineLvl w:val="0"/>
        <w:rPr>
          <w:rFonts w:ascii="Book Antiqua" w:hAnsi="Book Antiqua" w:eastAsia="Times New Roman" w:cs="Book Antiqua"/>
          <w:spacing w:val="1"/>
          <w:lang w:val="en-US"/>
        </w:rPr>
      </w:pPr>
      <w:r>
        <w:rPr>
          <w:rFonts w:ascii="Book Antiqua" w:hAnsi="Book Antiqua" w:cs="Book Antiqua"/>
          <w:color w:val="000000"/>
        </w:rPr>
        <w:t xml:space="preserve">Subjek adalah siswa di SD adiwiyata kota Banjarmasin dan sekitarnya. Subjek yang diharapkan adalah perwakilan siswa SD yang tinggal di lingkungan lahan basah berjumlah 60 orang. Teknik pemilihan sampel dilakukan secara </w:t>
      </w:r>
      <w:r>
        <w:rPr>
          <w:rFonts w:ascii="Book Antiqua" w:hAnsi="Book Antiqua" w:cs="Book Antiqua"/>
          <w:i/>
          <w:color w:val="000000"/>
        </w:rPr>
        <w:t>purposive sampling</w:t>
      </w:r>
      <w:r>
        <w:rPr>
          <w:rFonts w:ascii="Book Antiqua" w:hAnsi="Book Antiqua" w:cs="Book Antiqua"/>
          <w:color w:val="000000"/>
        </w:rPr>
        <w:t xml:space="preserve"> dengan mempertimbangkan karakteristik tempat tinggal guru dan siswa, kurikulum adiwiyata dan tujuan penelitian. </w:t>
      </w:r>
      <w:r>
        <w:rPr>
          <w:rFonts w:ascii="Book Antiqua" w:hAnsi="Book Antiqua" w:cs="Book Antiqua"/>
          <w:color w:val="171717"/>
        </w:rPr>
        <w:t>Subjek yang diteliti berfokus pada siswa SD kelas 5 dan 6. Alasannya karena jenjang usia tersebut logika siswa sudah cukup matang secara psikologis untuk memahami konsep literasi lahan basah</w:t>
      </w:r>
      <w:r>
        <w:rPr>
          <w:rFonts w:ascii="Book Antiqua" w:hAnsi="Book Antiqua" w:cs="Book Antiqua"/>
          <w:color w:val="171717"/>
          <w:lang w:val="en-US"/>
        </w:rPr>
        <w:t>.</w:t>
      </w:r>
    </w:p>
    <w:p>
      <w:pPr>
        <w:pStyle w:val="30"/>
        <w:rPr>
          <w:rFonts w:ascii="Book Antiqua" w:hAnsi="Book Antiqua" w:eastAsia="Calibri"/>
          <w:szCs w:val="22"/>
          <w:lang w:val="en-US"/>
        </w:rPr>
      </w:pPr>
      <w:r>
        <w:rPr>
          <w:rFonts w:ascii="Book Antiqua" w:hAnsi="Book Antiqua" w:eastAsia="Calibri"/>
          <w:szCs w:val="22"/>
          <w:lang w:val="en-US"/>
        </w:rPr>
        <w:t>Penilaian dilakukan dengan memberikan siswa SD instrumen berupa soal dan angket opini pengetahuan lingkungan lahan basah. Fokus penilaian pemahaman siswa SD terhadap literasi lahan basah dikembangakan dari rumusan NAEE (2011) dan PISA (2016), diformulasikan menjadi 4 aspek. Terdiri dari 4 aspek utama pengetahuan (knowledge) flora fauna lahan basah, sifat perairan lahan basah, pengelolaan lahan basah serta pelestarian lahan basah. Pembahasan disajikan secara deskriptif kualitatif berdasarkan dari data kuantitatif berupa test dan wawancara.</w:t>
      </w:r>
    </w:p>
    <w:p>
      <w:pPr>
        <w:pStyle w:val="30"/>
        <w:rPr>
          <w:rFonts w:ascii="Book Antiqua" w:hAnsi="Book Antiqua" w:eastAsia="Calibri"/>
          <w:szCs w:val="22"/>
          <w:lang w:val="en-US"/>
        </w:rPr>
      </w:pPr>
      <w:r>
        <w:rPr>
          <w:rFonts w:ascii="Book Antiqua" w:hAnsi="Book Antiqua" w:eastAsia="Calibri"/>
          <w:szCs w:val="22"/>
          <w:lang w:val="en-US"/>
        </w:rPr>
        <w:t>Hasil penilaian dibuat skor rata-rata. Hasil ditabulasi dan disajikan dalam kategori. Kategori dapat dilihat pada Tabel 1.</w:t>
      </w:r>
    </w:p>
    <w:p>
      <w:pPr>
        <w:pStyle w:val="30"/>
        <w:spacing w:line="360" w:lineRule="auto"/>
        <w:rPr>
          <w:color w:val="000000"/>
          <w:sz w:val="24"/>
          <w:lang w:val="en-US"/>
        </w:rPr>
      </w:pPr>
    </w:p>
    <w:p>
      <w:pPr>
        <w:pStyle w:val="7"/>
        <w:keepNext/>
        <w:spacing w:after="0"/>
        <w:ind w:left="360" w:hanging="360"/>
        <w:jc w:val="center"/>
        <w:rPr>
          <w:rFonts w:ascii="Book Antiqua" w:hAnsi="Book Antiqua"/>
          <w:i w:val="0"/>
          <w:iCs w:val="0"/>
          <w:color w:val="auto"/>
          <w:sz w:val="20"/>
        </w:rPr>
      </w:pPr>
      <w:r>
        <w:rPr>
          <w:rFonts w:ascii="Book Antiqua" w:hAnsi="Book Antiqua"/>
          <w:i w:val="0"/>
          <w:iCs w:val="0"/>
          <w:color w:val="auto"/>
          <w:sz w:val="20"/>
        </w:rPr>
        <w:t xml:space="preserve">Tabel 1. Kategori LiterasiPengelolaan Lingkungan </w:t>
      </w:r>
    </w:p>
    <w:tbl>
      <w:tblPr>
        <w:tblStyle w:val="4"/>
        <w:tblW w:w="5940" w:type="dxa"/>
        <w:jc w:val="center"/>
        <w:tblBorders>
          <w:top w:val="single" w:color="000000" w:sz="4" w:space="0"/>
          <w:left w:val="none" w:color="auto" w:sz="0" w:space="0"/>
          <w:bottom w:val="single" w:color="000000"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2970"/>
        <w:gridCol w:w="2970"/>
      </w:tblGrid>
      <w:tr>
        <w:tblPrEx>
          <w:tblBorders>
            <w:top w:val="single" w:color="000000" w:sz="4" w:space="0"/>
            <w:left w:val="none" w:color="auto" w:sz="0" w:space="0"/>
            <w:bottom w:val="single" w:color="000000" w:sz="4" w:space="0"/>
            <w:right w:val="none" w:color="auto" w:sz="0" w:space="0"/>
            <w:insideH w:val="single" w:color="auto" w:sz="4" w:space="0"/>
            <w:insideV w:val="none" w:color="auto" w:sz="0" w:space="0"/>
          </w:tblBorders>
        </w:tblPrEx>
        <w:trPr>
          <w:trHeight w:val="207" w:hRule="atLeast"/>
          <w:jc w:val="center"/>
        </w:trPr>
        <w:tc>
          <w:tcPr>
            <w:tcW w:w="2970" w:type="dxa"/>
            <w:tcBorders>
              <w:bottom w:val="nil"/>
            </w:tcBorders>
          </w:tcPr>
          <w:p>
            <w:pPr>
              <w:pStyle w:val="30"/>
              <w:ind w:firstLine="0"/>
              <w:jc w:val="center"/>
              <w:rPr>
                <w:b/>
                <w:bCs/>
                <w:color w:val="000000"/>
                <w:sz w:val="20"/>
                <w:lang w:val="en-US"/>
              </w:rPr>
            </w:pPr>
            <w:r>
              <w:rPr>
                <w:b/>
                <w:bCs/>
                <w:color w:val="000000"/>
                <w:sz w:val="20"/>
                <w:lang w:val="en-US"/>
              </w:rPr>
              <w:t>Rata-rata skor</w:t>
            </w:r>
          </w:p>
        </w:tc>
        <w:tc>
          <w:tcPr>
            <w:tcW w:w="2970" w:type="dxa"/>
            <w:tcBorders>
              <w:bottom w:val="nil"/>
            </w:tcBorders>
          </w:tcPr>
          <w:p>
            <w:pPr>
              <w:pStyle w:val="30"/>
              <w:ind w:firstLine="0"/>
              <w:jc w:val="center"/>
              <w:rPr>
                <w:b/>
                <w:bCs/>
                <w:color w:val="000000"/>
                <w:sz w:val="20"/>
                <w:lang w:val="en-US"/>
              </w:rPr>
            </w:pPr>
            <w:r>
              <w:rPr>
                <w:b/>
                <w:bCs/>
                <w:color w:val="000000"/>
                <w:sz w:val="20"/>
                <w:lang w:val="en-US"/>
              </w:rPr>
              <w:t>Kategori</w:t>
            </w:r>
          </w:p>
        </w:tc>
      </w:tr>
      <w:tr>
        <w:tblPrEx>
          <w:tblBorders>
            <w:top w:val="single" w:color="000000" w:sz="4" w:space="0"/>
            <w:left w:val="none" w:color="auto" w:sz="0" w:space="0"/>
            <w:bottom w:val="single" w:color="000000"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07" w:hRule="atLeast"/>
          <w:jc w:val="center"/>
        </w:trPr>
        <w:tc>
          <w:tcPr>
            <w:tcW w:w="2970" w:type="dxa"/>
            <w:tcBorders>
              <w:top w:val="nil"/>
              <w:bottom w:val="nil"/>
            </w:tcBorders>
          </w:tcPr>
          <w:p>
            <w:pPr>
              <w:pStyle w:val="30"/>
              <w:ind w:firstLine="0"/>
              <w:jc w:val="center"/>
              <w:rPr>
                <w:color w:val="000000"/>
                <w:sz w:val="20"/>
                <w:lang w:val="en-US"/>
              </w:rPr>
            </w:pPr>
            <w:r>
              <w:rPr>
                <w:color w:val="000000"/>
                <w:sz w:val="20"/>
                <w:lang w:val="en-US"/>
              </w:rPr>
              <w:t>&lt;60</w:t>
            </w:r>
          </w:p>
        </w:tc>
        <w:tc>
          <w:tcPr>
            <w:tcW w:w="2970" w:type="dxa"/>
            <w:tcBorders>
              <w:top w:val="nil"/>
              <w:bottom w:val="nil"/>
            </w:tcBorders>
          </w:tcPr>
          <w:p>
            <w:pPr>
              <w:pStyle w:val="30"/>
              <w:ind w:firstLine="0"/>
              <w:jc w:val="center"/>
              <w:rPr>
                <w:color w:val="000000"/>
                <w:sz w:val="20"/>
                <w:lang w:val="en-US"/>
              </w:rPr>
            </w:pPr>
            <w:r>
              <w:rPr>
                <w:color w:val="000000"/>
                <w:sz w:val="20"/>
                <w:lang w:val="en-US"/>
              </w:rPr>
              <w:t>Kurang Baik</w:t>
            </w:r>
          </w:p>
        </w:tc>
      </w:tr>
      <w:tr>
        <w:tblPrEx>
          <w:tblBorders>
            <w:top w:val="single" w:color="000000" w:sz="4" w:space="0"/>
            <w:left w:val="none" w:color="auto" w:sz="0" w:space="0"/>
            <w:bottom w:val="single" w:color="000000"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07" w:hRule="atLeast"/>
          <w:jc w:val="center"/>
        </w:trPr>
        <w:tc>
          <w:tcPr>
            <w:tcW w:w="2970" w:type="dxa"/>
            <w:tcBorders>
              <w:top w:val="nil"/>
              <w:bottom w:val="nil"/>
            </w:tcBorders>
          </w:tcPr>
          <w:p>
            <w:pPr>
              <w:pStyle w:val="30"/>
              <w:ind w:firstLine="0"/>
              <w:jc w:val="center"/>
              <w:rPr>
                <w:color w:val="000000"/>
                <w:sz w:val="20"/>
                <w:lang w:val="en-US"/>
              </w:rPr>
            </w:pPr>
            <w:r>
              <w:rPr>
                <w:color w:val="000000"/>
                <w:sz w:val="20"/>
                <w:lang w:val="en-US"/>
              </w:rPr>
              <w:t>60-80</w:t>
            </w:r>
          </w:p>
        </w:tc>
        <w:tc>
          <w:tcPr>
            <w:tcW w:w="2970" w:type="dxa"/>
            <w:tcBorders>
              <w:top w:val="nil"/>
              <w:bottom w:val="nil"/>
            </w:tcBorders>
          </w:tcPr>
          <w:p>
            <w:pPr>
              <w:pStyle w:val="30"/>
              <w:ind w:firstLine="0"/>
              <w:jc w:val="center"/>
              <w:rPr>
                <w:color w:val="000000"/>
                <w:sz w:val="20"/>
                <w:lang w:val="en-US"/>
              </w:rPr>
            </w:pPr>
            <w:r>
              <w:rPr>
                <w:color w:val="000000"/>
                <w:sz w:val="20"/>
                <w:lang w:val="en-US"/>
              </w:rPr>
              <w:t>Baik</w:t>
            </w:r>
          </w:p>
        </w:tc>
      </w:tr>
      <w:tr>
        <w:tblPrEx>
          <w:tblBorders>
            <w:top w:val="single" w:color="000000" w:sz="4" w:space="0"/>
            <w:left w:val="none" w:color="auto" w:sz="0" w:space="0"/>
            <w:bottom w:val="single" w:color="000000"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16" w:hRule="atLeast"/>
          <w:jc w:val="center"/>
        </w:trPr>
        <w:tc>
          <w:tcPr>
            <w:tcW w:w="2970" w:type="dxa"/>
            <w:tcBorders>
              <w:top w:val="nil"/>
            </w:tcBorders>
          </w:tcPr>
          <w:p>
            <w:pPr>
              <w:pStyle w:val="30"/>
              <w:ind w:firstLine="0"/>
              <w:jc w:val="center"/>
              <w:rPr>
                <w:color w:val="000000"/>
                <w:sz w:val="20"/>
                <w:lang w:val="en-US"/>
              </w:rPr>
            </w:pPr>
            <w:r>
              <w:rPr>
                <w:color w:val="000000"/>
                <w:sz w:val="20"/>
                <w:lang w:val="en-US"/>
              </w:rPr>
              <w:t>80&gt;</w:t>
            </w:r>
          </w:p>
        </w:tc>
        <w:tc>
          <w:tcPr>
            <w:tcW w:w="2970" w:type="dxa"/>
            <w:tcBorders>
              <w:top w:val="nil"/>
            </w:tcBorders>
          </w:tcPr>
          <w:p>
            <w:pPr>
              <w:pStyle w:val="30"/>
              <w:ind w:firstLine="0"/>
              <w:jc w:val="center"/>
              <w:rPr>
                <w:color w:val="000000"/>
                <w:sz w:val="20"/>
                <w:lang w:val="en-US"/>
              </w:rPr>
            </w:pPr>
            <w:r>
              <w:rPr>
                <w:color w:val="000000"/>
                <w:sz w:val="20"/>
                <w:lang w:val="en-US"/>
              </w:rPr>
              <w:t>Sangat Baik</w:t>
            </w:r>
          </w:p>
        </w:tc>
      </w:tr>
    </w:tbl>
    <w:p>
      <w:pPr>
        <w:pStyle w:val="30"/>
        <w:spacing w:line="360" w:lineRule="auto"/>
        <w:ind w:firstLine="0"/>
        <w:rPr>
          <w:color w:val="000000"/>
          <w:sz w:val="24"/>
          <w:lang w:val="en-US"/>
        </w:rPr>
      </w:pPr>
    </w:p>
    <w:p>
      <w:pPr>
        <w:spacing w:after="0" w:line="240" w:lineRule="auto"/>
        <w:ind w:firstLine="567"/>
        <w:jc w:val="both"/>
        <w:outlineLvl w:val="0"/>
        <w:rPr>
          <w:rFonts w:ascii="Book Antiqua" w:hAnsi="Book Antiqua" w:cs="Times New Roman"/>
          <w:lang w:val="en-US"/>
        </w:rPr>
      </w:pPr>
      <w:r>
        <w:rPr>
          <w:rFonts w:ascii="Book Antiqua" w:hAnsi="Book Antiqua" w:cs="Times New Roman"/>
          <w:lang w:val="en-US"/>
        </w:rPr>
        <w:t>Analisis lebih dalam dilakukan dengan wawancara berupa tanya jawab secara terbuka untuk melengkapi data pembahasan sesuai keperluan. Setelah wawancara, informasi yang diperoleh diolah dapat dikonfirmasikan melalui tahap triangulasi dan member check. Hal ini dimaksudkan untuk memproleh masukan mengenai keseuai data yang satu dengan yang lain.</w:t>
      </w:r>
    </w:p>
    <w:p>
      <w:pPr>
        <w:spacing w:after="0" w:line="240" w:lineRule="auto"/>
        <w:jc w:val="both"/>
        <w:rPr>
          <w:rFonts w:ascii="Book Antiqua" w:hAnsi="Book Antiqua" w:cs="Times New Roman"/>
          <w:b/>
          <w:bCs/>
          <w:sz w:val="24"/>
          <w:szCs w:val="24"/>
        </w:rPr>
      </w:pPr>
    </w:p>
    <w:p>
      <w:pPr>
        <w:spacing w:after="0" w:line="240" w:lineRule="auto"/>
        <w:jc w:val="both"/>
        <w:rPr>
          <w:rFonts w:ascii="Book Antiqua" w:hAnsi="Book Antiqua" w:cs="Times New Roman"/>
          <w:b/>
          <w:bCs/>
          <w:sz w:val="24"/>
          <w:szCs w:val="24"/>
        </w:rPr>
      </w:pPr>
      <w:r>
        <w:rPr>
          <w:rFonts w:ascii="Book Antiqua" w:hAnsi="Book Antiqua" w:cs="Times New Roman"/>
          <w:b/>
          <w:bCs/>
          <w:sz w:val="24"/>
          <w:szCs w:val="24"/>
        </w:rPr>
        <w:t>Results and Discussion</w:t>
      </w:r>
    </w:p>
    <w:p>
      <w:pPr>
        <w:pStyle w:val="24"/>
        <w:spacing w:after="0" w:line="240" w:lineRule="auto"/>
        <w:ind w:left="0"/>
        <w:rPr>
          <w:color w:val="000000"/>
          <w:spacing w:val="-1"/>
          <w:sz w:val="24"/>
        </w:rPr>
      </w:pPr>
      <w:r>
        <w:rPr>
          <w:rFonts w:ascii="Book Antiqua" w:hAnsi="Book Antiqua"/>
        </w:rPr>
        <w:t>Berdasarkan survei yang telah dilakukan didapatkan hasil yang telah dibuat dalam bentuk diagram. Subjek adalah perwakilan siswa SD yang tinggal di lingkungan lahan basah berjumlah 60 orang dan berada di kelas 5 atau 6. Hasil kemampuan literasi lingkungan lahan basah siswa disajikan pada Gambar 1.</w:t>
      </w:r>
    </w:p>
    <w:p>
      <w:pPr>
        <w:spacing w:before="120" w:after="120" w:line="240" w:lineRule="auto"/>
      </w:pPr>
      <w:r>
        <w:rPr>
          <w:lang w:val="en-US"/>
        </w:rPr>
        <w:drawing>
          <wp:inline distT="0" distB="0" distL="114300" distR="114300">
            <wp:extent cx="4846955" cy="2371725"/>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a:stretch>
                      <a:fillRect/>
                    </a:stretch>
                  </pic:blipFill>
                  <pic:spPr>
                    <a:xfrm>
                      <a:off x="0" y="0"/>
                      <a:ext cx="4853891" cy="2375119"/>
                    </a:xfrm>
                    <a:prstGeom prst="rect">
                      <a:avLst/>
                    </a:prstGeom>
                    <a:noFill/>
                    <a:ln>
                      <a:noFill/>
                    </a:ln>
                  </pic:spPr>
                </pic:pic>
              </a:graphicData>
            </a:graphic>
          </wp:inline>
        </w:drawing>
      </w:r>
    </w:p>
    <w:p>
      <w:pPr>
        <w:spacing w:before="120" w:after="120" w:line="240" w:lineRule="auto"/>
        <w:jc w:val="center"/>
        <w:rPr>
          <w:bCs/>
          <w:sz w:val="20"/>
          <w:szCs w:val="21"/>
        </w:rPr>
      </w:pPr>
      <w:r>
        <w:rPr>
          <w:bCs/>
          <w:sz w:val="20"/>
          <w:szCs w:val="21"/>
        </w:rPr>
        <w:t xml:space="preserve">Gambar 1. Kemampuan Literasi Lingkungan Lahan Basah Siswa </w:t>
      </w:r>
    </w:p>
    <w:p>
      <w:pPr>
        <w:spacing w:before="120" w:after="120" w:line="240" w:lineRule="auto"/>
        <w:jc w:val="center"/>
        <w:rPr>
          <w:bCs/>
          <w:sz w:val="20"/>
          <w:szCs w:val="21"/>
        </w:rPr>
      </w:pPr>
    </w:p>
    <w:p>
      <w:pPr>
        <w:spacing w:before="120" w:after="120" w:line="240" w:lineRule="auto"/>
        <w:ind w:firstLine="720" w:firstLineChars="0"/>
        <w:jc w:val="both"/>
        <w:rPr>
          <w:b/>
          <w:sz w:val="18"/>
          <w:szCs w:val="20"/>
        </w:rPr>
      </w:pPr>
      <w:r>
        <w:rPr>
          <w:rFonts w:ascii="Book Antiqua" w:hAnsi="Book Antiqua" w:cs="Times New Roman"/>
          <w:lang w:val="en-US"/>
        </w:rPr>
        <w:t>Berdasarkan survei yang telah dilakukan didapatkan hasil yang telah dibuat dalam bentuk diagram. Subjek adalah perwakilan siswa SD yang tinggal di lingkungan lahan basah berjumlah 60 orang dan berada di kelas 5 atau 6. Hasil kemampuan literasi lingkungan lahan basah siswa disajikan pada Gambar 1.</w:t>
      </w:r>
    </w:p>
    <w:p>
      <w:pPr>
        <w:spacing w:before="120" w:after="120" w:line="240" w:lineRule="auto"/>
        <w:ind w:firstLine="720"/>
        <w:jc w:val="both"/>
        <w:rPr>
          <w:color w:val="000000"/>
          <w:spacing w:val="-1"/>
          <w:sz w:val="24"/>
          <w:lang w:val="en-US"/>
        </w:rPr>
      </w:pPr>
      <w:r>
        <w:rPr>
          <w:rFonts w:ascii="Book Antiqua" w:hAnsi="Book Antiqua" w:cs="Times New Roman"/>
          <w:lang w:val="en-US"/>
        </w:rPr>
        <w:t xml:space="preserve">Berdasarkan Gambar 1 tersebut dapat dilihat bahwa rata-rata siswa SD cenderung memiliki kemampuan literasi lingkungan lahan basah siswa pada kategori baik. Skor reratanya mencapai 75,35. Hal ini sesuai dengan temuan terdahulu oleh Sholahuddin dkk (2021) bahwa siswa di daerah banjarmasin memiliki pemahaman yang baik karena memang kebanyakan tinggal di sekitar lahan basah. Lahan basah yang didiami kebanyakan adalah di sungai atau rawa. Siswa yang mengenyam kehidupan langsung di lahan basah menjadi kerap bersinggungan langsung dengan aspek-aspek flora fauna lahan basah, sifat perairan lahan basah, pengelolaan lahan basah serta pelestarian lahan basah. </w:t>
      </w:r>
    </w:p>
    <w:p>
      <w:pPr>
        <w:spacing w:before="120" w:after="120" w:line="240" w:lineRule="auto"/>
        <w:ind w:firstLine="720"/>
        <w:jc w:val="both"/>
        <w:rPr>
          <w:rFonts w:ascii="Book Antiqua" w:hAnsi="Book Antiqua" w:cs="Times New Roman"/>
          <w:lang w:val="en-US"/>
        </w:rPr>
      </w:pPr>
      <w:r>
        <w:rPr>
          <w:rFonts w:ascii="Book Antiqua" w:hAnsi="Book Antiqua" w:cs="Times New Roman"/>
          <w:lang w:val="en-US"/>
        </w:rPr>
        <w:t xml:space="preserve">Gambaran lebih spesifik kemampuan literasi lingkungan lahan basah siswa dapat dianalisis per indikator.  Indikator terdiri dari 4 aspek utama pengetahuan </w:t>
      </w:r>
      <w:r>
        <w:rPr>
          <w:rFonts w:ascii="Book Antiqua" w:hAnsi="Book Antiqua" w:cs="Times New Roman"/>
          <w:i/>
          <w:iCs/>
          <w:lang w:val="en-US"/>
        </w:rPr>
        <w:t xml:space="preserve">(knowledge) </w:t>
      </w:r>
      <w:r>
        <w:rPr>
          <w:rFonts w:ascii="Book Antiqua" w:hAnsi="Book Antiqua" w:cs="Times New Roman"/>
          <w:lang w:val="en-US"/>
        </w:rPr>
        <w:t>flora fauna lahan basah, sifat perairan lahan basah, pengelolaan lahan basah serta pelestarian lahan basah.. Hasil penilaian dalam setiap indikator disajikan pada Gambar 2.</w:t>
      </w:r>
    </w:p>
    <w:p>
      <w:pPr>
        <w:pStyle w:val="30"/>
        <w:spacing w:line="360" w:lineRule="auto"/>
        <w:rPr>
          <w:color w:val="000000"/>
          <w:spacing w:val="-1"/>
          <w:sz w:val="24"/>
          <w:lang w:val="en-US"/>
        </w:rPr>
      </w:pPr>
    </w:p>
    <w:p>
      <w:pPr>
        <w:pStyle w:val="30"/>
        <w:spacing w:line="360" w:lineRule="auto"/>
      </w:pPr>
      <w:r>
        <w:rPr>
          <w:lang w:val="en-US"/>
        </w:rPr>
        <w:drawing>
          <wp:inline distT="0" distB="0" distL="114300" distR="114300">
            <wp:extent cx="4450715" cy="3027045"/>
            <wp:effectExtent l="4445" t="4445" r="21590" b="16510"/>
            <wp:docPr id="1" name="Char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30"/>
        <w:spacing w:line="360" w:lineRule="auto"/>
        <w:jc w:val="center"/>
        <w:rPr>
          <w:lang w:val="en-US"/>
        </w:rPr>
      </w:pPr>
      <w:r>
        <w:rPr>
          <w:b/>
          <w:sz w:val="18"/>
          <w:szCs w:val="20"/>
        </w:rPr>
        <w:t xml:space="preserve">Gambar </w:t>
      </w:r>
      <w:r>
        <w:rPr>
          <w:b/>
          <w:sz w:val="18"/>
          <w:szCs w:val="20"/>
          <w:lang w:val="en-US"/>
        </w:rPr>
        <w:t>2</w:t>
      </w:r>
      <w:r>
        <w:rPr>
          <w:b/>
          <w:sz w:val="18"/>
          <w:szCs w:val="20"/>
        </w:rPr>
        <w:t xml:space="preserve">. </w:t>
      </w:r>
      <w:r>
        <w:rPr>
          <w:b/>
          <w:sz w:val="18"/>
          <w:szCs w:val="20"/>
          <w:lang w:val="en-US"/>
        </w:rPr>
        <w:t>Literasi Lingkungan Lahan Basah Siswa Tiap Indikator</w:t>
      </w:r>
    </w:p>
    <w:p>
      <w:pPr>
        <w:pStyle w:val="30"/>
        <w:spacing w:line="360" w:lineRule="auto"/>
        <w:rPr>
          <w:color w:val="000000"/>
          <w:spacing w:val="-1"/>
          <w:sz w:val="24"/>
          <w:lang w:val="en-US"/>
        </w:rPr>
      </w:pPr>
    </w:p>
    <w:p>
      <w:pPr>
        <w:pStyle w:val="24"/>
        <w:spacing w:after="0" w:line="240" w:lineRule="auto"/>
        <w:ind w:left="0" w:firstLine="720"/>
        <w:rPr>
          <w:rFonts w:ascii="Book Antiqua" w:hAnsi="Book Antiqua"/>
        </w:rPr>
      </w:pPr>
      <w:r>
        <w:rPr>
          <w:rFonts w:ascii="Book Antiqua" w:hAnsi="Book Antiqua"/>
        </w:rPr>
        <w:t xml:space="preserve">Berdasarkan Gambar 2 didapati bahwa aspek literasi yang paling dikuasi siswa adalah tentang flora dan fauna. Indikator satu ini masuk pada kategori sangat baik dengan skor 85,43. Berdasarkan angket pendukung diketahui bahwa siswa mengetahui flora fauna yang khas lahan basah Banjarmasin seperti Bekantan, Ikan Haruan dan Buah Kasturi. Hal ini sangat masuk akal mengingat tempat tinggal siswa memang kebanyakan dekat dengan sawah, rawa dan sungai. Sesuai dengan temuan terdahulu oleh Sholahuddin dkk (2021) bahwa siswa didaerah banjarmasin kehidupan sangat bersentuhan dengan alam, baik flora dan fauna sehingga siswa dapat mengetahui dan merasakan langsung. </w:t>
      </w:r>
    </w:p>
    <w:p>
      <w:pPr>
        <w:pStyle w:val="24"/>
        <w:spacing w:after="0" w:line="240" w:lineRule="auto"/>
        <w:ind w:left="0" w:firstLine="720"/>
        <w:rPr>
          <w:rFonts w:ascii="Book Antiqua" w:hAnsi="Book Antiqua"/>
        </w:rPr>
      </w:pPr>
      <w:r>
        <w:rPr>
          <w:rFonts w:ascii="Book Antiqua" w:hAnsi="Book Antiqua"/>
        </w:rPr>
        <w:t xml:space="preserve">Mengacu data Gambar 2 didapati bahwa aspek literasi yang paling dikuasi siswa berikutnya adalah metode pengelolaan lahan basah yang baik. Indikator ini juga masuk pada kategori sangat baik dengan skor 81,15. Berdasarkan angket diketahui bahwa siswa mengetahui dengan baik jenis pengelolaan yang baik di lahan basah seperti pertanian padi, pembangunan irigasi dan waduk, serta perkebunan kelapa. Pengetahuan ini bisa didapat siswa melewat pelajaran Pendidikan Lingkungan Hidup serta program adywiyata. </w:t>
      </w:r>
    </w:p>
    <w:p>
      <w:pPr>
        <w:pStyle w:val="24"/>
        <w:spacing w:after="0" w:line="240" w:lineRule="auto"/>
        <w:ind w:left="0" w:firstLine="720"/>
        <w:rPr>
          <w:rFonts w:ascii="Book Antiqua" w:hAnsi="Book Antiqua"/>
        </w:rPr>
      </w:pPr>
      <w:r>
        <w:rPr>
          <w:rFonts w:ascii="Book Antiqua" w:hAnsi="Book Antiqua"/>
        </w:rPr>
        <w:t xml:space="preserve">Temuan Sholahuddin dkk (2021) membuktikan bahwa pendidikan formal dalam kurun waktu yang lama dari SD hingga tahun pertama sekolah menengah memainkan peran penting dalam mengubah pengetahuan literasi siswa terhadap lingkungan lahan basah. Berdasarkan pengamatan peneliti dari tiga sekolah yang berpartisipasi dengan perbedaan di daerah, mereka telah menerapkan program lingkungan berbasis sekolah, “Adiwiyata”  dilaksanakan dengan baik dan berpengaruh signifikan terhadap literasi lingkungan siswa. </w:t>
      </w:r>
    </w:p>
    <w:p>
      <w:pPr>
        <w:pStyle w:val="24"/>
        <w:spacing w:after="0" w:line="240" w:lineRule="auto"/>
        <w:ind w:left="0" w:firstLine="720"/>
        <w:rPr>
          <w:rFonts w:ascii="Book Antiqua" w:hAnsi="Book Antiqua"/>
        </w:rPr>
      </w:pPr>
      <w:r>
        <w:rPr>
          <w:rFonts w:ascii="Book Antiqua" w:hAnsi="Book Antiqua"/>
        </w:rPr>
        <w:t>Pelajaran Pendidikan Lingkungan Hidup serta program adywiyata memberikan sumbangan terhadap literasi siswa. Sebagaimana dijelaskan  Rabgay  (2018) kelebihan sekolah adiwiayata dan  mata pelajaran Pendidikan Lingkungan Hidup (PLH) adalah adanya akses bahan bacaan serta teknologi informatika. Bahan bacaan menjadi sumber utama suplai literasi pada kognisi siswa. Diperkuat penjelasan dan penekanan oleh guru di kelas.</w:t>
      </w:r>
    </w:p>
    <w:p>
      <w:pPr>
        <w:pStyle w:val="24"/>
        <w:spacing w:after="0" w:line="240" w:lineRule="auto"/>
        <w:ind w:left="0" w:firstLine="720"/>
        <w:rPr>
          <w:rFonts w:ascii="Book Antiqua" w:hAnsi="Book Antiqua"/>
        </w:rPr>
      </w:pPr>
      <w:r>
        <w:rPr>
          <w:rFonts w:ascii="Book Antiqua" w:hAnsi="Book Antiqua"/>
        </w:rPr>
        <w:t>Pada pelajaran PLH juga cenderung literasi tumbuh subur dengan aksesibilitas teknologi informasi pendukung. Sebagian besar sekolah PLH mendapat bantuan dana dan program untuk pengadaan bahan bacaan dan akses internet atau digital. Hal ini sangat positif karena minat siswa sebagai anak melenial memang kuat di ranah digital. Bahkan dirumah siswa dapat mengakses informasi terkait lingkungan kapan saja dan di mana saja melalui internet atau media sosial.</w:t>
      </w:r>
    </w:p>
    <w:p>
      <w:pPr>
        <w:pStyle w:val="24"/>
        <w:spacing w:after="0" w:line="240" w:lineRule="auto"/>
        <w:ind w:left="0" w:firstLine="720"/>
        <w:rPr>
          <w:rFonts w:ascii="Book Antiqua" w:hAnsi="Book Antiqua"/>
        </w:rPr>
      </w:pPr>
      <w:r>
        <w:rPr>
          <w:rFonts w:ascii="Book Antiqua" w:hAnsi="Book Antiqua"/>
        </w:rPr>
        <w:t>Berdasarkan Gambar 2 ditemukan bahwa aspek literasi yang paling dikuasi berikutnya adalah tentang pelestarian lahan basah. Indikator keempat ini masuk pada kategori baik dengan skor 70,69. Berdasarkan angket diketahui bahwa siswa mengetahui dengan baik jenis tindakan pelestaraian seperti cara penanaman tanaman yang baik, upaya 3R (</w:t>
      </w:r>
      <w:r>
        <w:rPr>
          <w:rFonts w:ascii="Book Antiqua" w:hAnsi="Book Antiqua"/>
          <w:i/>
          <w:iCs/>
        </w:rPr>
        <w:t>Reduce, Reuse, Recycle</w:t>
      </w:r>
      <w:r>
        <w:rPr>
          <w:rFonts w:ascii="Book Antiqua" w:hAnsi="Book Antiqua"/>
        </w:rPr>
        <w:t xml:space="preserve">). Namun didapati juga siswa masih kurang menguasi aspek ciri-ciri alam yang tercemar. </w:t>
      </w:r>
    </w:p>
    <w:p>
      <w:pPr>
        <w:pStyle w:val="24"/>
        <w:spacing w:after="0" w:line="240" w:lineRule="auto"/>
        <w:ind w:left="0" w:firstLine="720"/>
        <w:rPr>
          <w:rFonts w:ascii="Book Antiqua" w:hAnsi="Book Antiqua"/>
        </w:rPr>
      </w:pPr>
      <w:r>
        <w:rPr>
          <w:rFonts w:ascii="Book Antiqua" w:hAnsi="Book Antiqua"/>
        </w:rPr>
        <w:t>Pengetahuan tentang kelestarian lingkungan didapat dan dipahami dari sekolah. Merujuk riset Santoso dkk (2021) yang menyatakan seorang yang betul belajar lingkungan dia tahu yang akan dia lakukan untuk lingkungan, dia tahu bagaimana cara melakukan hal tersebut. Hanya saja indikator pelestarian lahan basah sebenarnya memuat komponen utama praktik atau melaksanakan, di sekolah subjek  cenderung lebih banyak teori atau konten. Minimnya kesempatan untuk praktik langsung pelestarian lingkungan membuat siswa mengalami kesulitan dalam mengidentifikasi ciri-ciri lahan basah yang tercemar. Praktik atau studi lapangan di sekolah biasanya berkisar pada lingkungan  dekat sekolah yang mudah diakses. Jarang berkunjung langsung ke tempat lahan basah yang luas, seperti laut, pantai, sawah dan lahan basah lainnya. Padahal sebagian besar sifat lahan basah justru berada pada tempat-tempat unik tersebut.</w:t>
      </w:r>
    </w:p>
    <w:p>
      <w:pPr>
        <w:pStyle w:val="24"/>
        <w:spacing w:after="0" w:line="240" w:lineRule="auto"/>
        <w:ind w:left="0" w:firstLine="720"/>
        <w:rPr>
          <w:rFonts w:ascii="Book Antiqua" w:hAnsi="Book Antiqua"/>
        </w:rPr>
      </w:pPr>
      <w:r>
        <w:rPr>
          <w:rFonts w:ascii="Book Antiqua" w:hAnsi="Book Antiqua"/>
        </w:rPr>
        <w:t xml:space="preserve">Mengacu pada Gambar 2 menunjukkan bahwa aspek literasi yang paling tidak dikuasi siswa adalah tentang Sifat Perairan Lahan Basah. Indikator kedua ini masih masuk pada kategori baik dengan skor 64,14. Berdasarkan angket diketahui bahwa siswa banyak kurang menguasai literasi tentang aspek sifat pasang surut air, ciri air sehat serta tanaman polutan air. </w:t>
      </w:r>
    </w:p>
    <w:p>
      <w:pPr>
        <w:pStyle w:val="24"/>
        <w:spacing w:after="0" w:line="240" w:lineRule="auto"/>
        <w:ind w:left="0" w:firstLine="720"/>
        <w:rPr>
          <w:rFonts w:ascii="Book Antiqua" w:hAnsi="Book Antiqua"/>
        </w:rPr>
      </w:pPr>
      <w:r>
        <w:rPr>
          <w:rFonts w:ascii="Book Antiqua" w:hAnsi="Book Antiqua"/>
        </w:rPr>
        <w:t>Pemicu kurangnya pemahaman literasi sifat perairan lahan basah kembali disebabkan  kurangnya kunjungan langsung ke tempat lahan basah tersebut. Siswa masih minim kesempatan untuk berkunjung langsung ke tempat lahan basah, seperti laut, pantai, sawah dan lahan basah lainnya yang menyebabkan kurang mengetahui fenomena air. Sangat penting memanfaatkan lingkungan sebagai sumber belajar.</w:t>
      </w:r>
    </w:p>
    <w:p>
      <w:pPr>
        <w:pStyle w:val="24"/>
        <w:spacing w:after="0" w:line="240" w:lineRule="auto"/>
        <w:ind w:left="0" w:firstLine="567"/>
        <w:rPr>
          <w:rFonts w:ascii="Book Antiqua" w:hAnsi="Book Antiqua"/>
        </w:rPr>
      </w:pPr>
    </w:p>
    <w:p>
      <w:pPr>
        <w:pStyle w:val="24"/>
        <w:spacing w:after="0" w:line="240" w:lineRule="auto"/>
        <w:ind w:left="0"/>
        <w:rPr>
          <w:rFonts w:ascii="Book Antiqua" w:hAnsi="Book Antiqua"/>
        </w:rPr>
      </w:pPr>
    </w:p>
    <w:p>
      <w:pPr>
        <w:spacing w:after="0" w:line="240" w:lineRule="auto"/>
        <w:jc w:val="both"/>
        <w:rPr>
          <w:rFonts w:ascii="Book Antiqua" w:hAnsi="Book Antiqua" w:cs="Times New Roman"/>
          <w:b/>
          <w:bCs/>
          <w:sz w:val="24"/>
          <w:szCs w:val="24"/>
        </w:rPr>
      </w:pPr>
      <w:r>
        <w:rPr>
          <w:rFonts w:ascii="Book Antiqua" w:hAnsi="Book Antiqua" w:cs="Times New Roman"/>
          <w:b/>
          <w:bCs/>
          <w:sz w:val="24"/>
          <w:szCs w:val="24"/>
        </w:rPr>
        <w:t>Conclusion</w:t>
      </w:r>
    </w:p>
    <w:p>
      <w:pPr>
        <w:pStyle w:val="24"/>
        <w:tabs>
          <w:tab w:val="left" w:pos="450"/>
        </w:tabs>
        <w:spacing w:after="0" w:line="240" w:lineRule="auto"/>
        <w:ind w:left="0"/>
        <w:rPr>
          <w:rFonts w:ascii="Book Antiqua" w:hAnsi="Book Antiqua"/>
        </w:rPr>
      </w:pPr>
      <w:r>
        <w:rPr>
          <w:rFonts w:ascii="Book Antiqua" w:hAnsi="Book Antiqua"/>
        </w:rPr>
        <w:t>Berdasarkan riset yang telah dilakukan didapatkan kesimpulan:</w:t>
      </w:r>
    </w:p>
    <w:p>
      <w:pPr>
        <w:pStyle w:val="24"/>
        <w:numPr>
          <w:ilvl w:val="0"/>
          <w:numId w:val="1"/>
        </w:numPr>
        <w:tabs>
          <w:tab w:val="left" w:pos="450"/>
        </w:tabs>
        <w:spacing w:after="0" w:line="240" w:lineRule="auto"/>
        <w:ind w:left="0"/>
        <w:rPr>
          <w:rFonts w:ascii="Book Antiqua" w:hAnsi="Book Antiqua"/>
        </w:rPr>
      </w:pPr>
      <w:r>
        <w:rPr>
          <w:rFonts w:ascii="Book Antiqua" w:hAnsi="Book Antiqua"/>
        </w:rPr>
        <w:t xml:space="preserve">Siswa SD cenderung memiliki kemampuan literasi lingkungan lahan basah siswa pada kategori baik. Skor reratanya mencapai 75,35. Pemicunya siswa didaerah banjarmasin kehidupan sangat bersentuhan dengan alam, baik flora dan fauna sehingga siswa dapat mengetahui dan merasakan langsung. </w:t>
      </w:r>
    </w:p>
    <w:p>
      <w:pPr>
        <w:pStyle w:val="24"/>
        <w:numPr>
          <w:ilvl w:val="0"/>
          <w:numId w:val="1"/>
        </w:numPr>
        <w:tabs>
          <w:tab w:val="left" w:pos="450"/>
        </w:tabs>
        <w:spacing w:after="0" w:line="240" w:lineRule="auto"/>
        <w:ind w:left="0"/>
        <w:rPr>
          <w:rFonts w:ascii="Book Antiqua" w:hAnsi="Book Antiqua"/>
        </w:rPr>
      </w:pPr>
      <w:r>
        <w:rPr>
          <w:rFonts w:ascii="Book Antiqua" w:hAnsi="Book Antiqua"/>
        </w:rPr>
        <w:t>Indikator literasi yang paling dikuasi siswa adalah tentang flora dan fauna, masuk pada kategori sangat baik dengan skor 85,43. Indikator pengelolaan lahan basah yang baik masuk pada kategori sangat baik dengan skor 81,15. Indikator pelestarian alam basah masuk pada kategori baik dengan skor 70,69. Indikator Sifat Perairan Lahan Basah. masuk pada kategori baik dengan skor 64,14. Indikator yang dikuasai dengan baik karena didukung oleh pengajaran  program PLH dan adiwiyata. Indikator yang masih kurang disebabkan belum optimalnya studi lapangan atau observasi langsung ke lahan basah</w:t>
      </w:r>
      <w:r>
        <w:rPr>
          <w:rFonts w:hint="default" w:ascii="Book Antiqua" w:hAnsi="Book Antiqua"/>
          <w:lang w:val="en-US"/>
        </w:rPr>
        <w:t>.</w:t>
      </w:r>
    </w:p>
    <w:p>
      <w:pPr>
        <w:pStyle w:val="24"/>
        <w:numPr>
          <w:ilvl w:val="0"/>
          <w:numId w:val="0"/>
        </w:numPr>
        <w:tabs>
          <w:tab w:val="left" w:pos="450"/>
        </w:tabs>
        <w:spacing w:after="0" w:line="240" w:lineRule="auto"/>
        <w:contextualSpacing/>
        <w:jc w:val="both"/>
        <w:rPr>
          <w:rFonts w:hint="default" w:ascii="Book Antiqua" w:hAnsi="Book Antiqua"/>
          <w:lang w:val="en-US"/>
        </w:rPr>
      </w:pPr>
    </w:p>
    <w:p>
      <w:pPr>
        <w:pStyle w:val="24"/>
        <w:numPr>
          <w:ilvl w:val="0"/>
          <w:numId w:val="0"/>
        </w:numPr>
        <w:tabs>
          <w:tab w:val="left" w:pos="450"/>
        </w:tabs>
        <w:spacing w:after="0" w:line="240" w:lineRule="auto"/>
        <w:contextualSpacing/>
        <w:jc w:val="both"/>
        <w:rPr>
          <w:rFonts w:hint="default" w:ascii="Book Antiqua" w:hAnsi="Book Antiqua"/>
          <w:lang w:val="en-US"/>
        </w:rPr>
      </w:pPr>
    </w:p>
    <w:p>
      <w:pPr>
        <w:pStyle w:val="24"/>
        <w:numPr>
          <w:ilvl w:val="0"/>
          <w:numId w:val="0"/>
        </w:numPr>
        <w:tabs>
          <w:tab w:val="left" w:pos="450"/>
        </w:tabs>
        <w:spacing w:after="0" w:line="240" w:lineRule="auto"/>
        <w:contextualSpacing/>
        <w:jc w:val="both"/>
        <w:rPr>
          <w:rFonts w:hint="default" w:ascii="Book Antiqua" w:hAnsi="Book Antiqua"/>
          <w:lang w:val="en-US"/>
        </w:rPr>
      </w:pPr>
    </w:p>
    <w:p>
      <w:pPr>
        <w:spacing w:after="0" w:line="240" w:lineRule="auto"/>
        <w:rPr>
          <w:rFonts w:ascii="Book Antiqua" w:hAnsi="Book Antiqua" w:cs="Times New Roman"/>
          <w:b/>
          <w:bCs/>
          <w:sz w:val="24"/>
          <w:szCs w:val="24"/>
        </w:rPr>
      </w:pPr>
    </w:p>
    <w:p>
      <w:pPr>
        <w:spacing w:after="0" w:line="240" w:lineRule="auto"/>
        <w:rPr>
          <w:rFonts w:ascii="Book Antiqua" w:hAnsi="Book Antiqua" w:cs="Times New Roman"/>
          <w:b/>
          <w:bCs/>
          <w:sz w:val="24"/>
          <w:szCs w:val="24"/>
        </w:rPr>
      </w:pPr>
    </w:p>
    <w:p>
      <w:pPr>
        <w:spacing w:after="0" w:line="240" w:lineRule="auto"/>
        <w:rPr>
          <w:rFonts w:ascii="Book Antiqua" w:hAnsi="Book Antiqua" w:cs="Times New Roman"/>
          <w:sz w:val="24"/>
          <w:szCs w:val="24"/>
        </w:rPr>
      </w:pPr>
      <w:r>
        <w:rPr>
          <w:rFonts w:ascii="Book Antiqua" w:hAnsi="Book Antiqua" w:cs="Times New Roman"/>
          <w:b/>
          <w:bCs/>
          <w:sz w:val="24"/>
          <w:szCs w:val="24"/>
        </w:rPr>
        <w:t>References</w:t>
      </w:r>
    </w:p>
    <w:p>
      <w:pPr>
        <w:widowControl w:val="0"/>
        <w:autoSpaceDE w:val="0"/>
        <w:autoSpaceDN w:val="0"/>
        <w:adjustRightInd w:val="0"/>
        <w:spacing w:after="0" w:line="240" w:lineRule="auto"/>
        <w:ind w:left="567" w:hanging="567"/>
        <w:jc w:val="both"/>
        <w:rPr>
          <w:rFonts w:ascii="Book Antiqua" w:hAnsi="Book Antiqua" w:cs="Book Antiqua"/>
        </w:rPr>
      </w:pPr>
      <w:bookmarkStart w:id="0" w:name="_GoBack"/>
      <w:bookmarkEnd w:id="0"/>
    </w:p>
    <w:p>
      <w:pPr>
        <w:spacing w:after="0" w:line="240" w:lineRule="auto"/>
        <w:ind w:left="709" w:hanging="709"/>
        <w:jc w:val="both"/>
        <w:rPr>
          <w:rFonts w:ascii="Book Antiqua" w:hAnsi="Book Antiqua" w:cs="Book Antiqua"/>
          <w:lang w:val="en-GB" w:eastAsia="id-ID"/>
        </w:rPr>
      </w:pPr>
      <w:r>
        <w:rPr>
          <w:rFonts w:ascii="Book Antiqua" w:hAnsi="Book Antiqua" w:cs="Book Antiqua"/>
          <w:lang w:val="en-GB" w:eastAsia="id-ID"/>
        </w:rPr>
        <w:t>Anggraini N et al. (2021). Analysis of environmental literacy skill of biology teacher candidates in human and environmental courses.</w:t>
      </w:r>
      <w:r>
        <w:rPr>
          <w:rFonts w:ascii="Book Antiqua" w:hAnsi="Book Antiqua" w:cs="Book Antiqua"/>
          <w:i/>
          <w:iCs/>
          <w:lang w:val="en-GB" w:eastAsia="id-ID"/>
        </w:rPr>
        <w:t xml:space="preserve"> Science Education Journal (SEJ). 5</w:t>
      </w:r>
      <w:r>
        <w:rPr>
          <w:rFonts w:ascii="Book Antiqua" w:hAnsi="Book Antiqua" w:cs="Book Antiqua"/>
          <w:lang w:val="en-GB" w:eastAsia="id-ID"/>
        </w:rPr>
        <w:t>(1)110-116.</w:t>
      </w:r>
    </w:p>
    <w:p>
      <w:pPr>
        <w:spacing w:after="0" w:line="240" w:lineRule="auto"/>
        <w:ind w:left="709" w:hanging="709"/>
        <w:jc w:val="both"/>
        <w:rPr>
          <w:rFonts w:ascii="Book Antiqua" w:hAnsi="Book Antiqua" w:cs="Book Antiqua"/>
          <w:lang w:val="en-GB" w:eastAsia="id-ID"/>
        </w:rPr>
      </w:pPr>
      <w:r>
        <w:rPr>
          <w:rFonts w:ascii="Book Antiqua" w:hAnsi="Book Antiqua" w:cs="Book Antiqua"/>
          <w:lang w:val="en-GB" w:eastAsia="id-ID"/>
        </w:rPr>
        <w:t>Kusumastuti, Widayati (2009)</w:t>
      </w:r>
      <w:r>
        <w:rPr>
          <w:rFonts w:hint="default" w:ascii="Book Antiqua" w:hAnsi="Book Antiqua" w:cs="Book Antiqua"/>
          <w:lang w:val="en-US" w:eastAsia="id-ID"/>
        </w:rPr>
        <w:t>.</w:t>
      </w:r>
      <w:r>
        <w:rPr>
          <w:rFonts w:ascii="Book Antiqua" w:hAnsi="Book Antiqua" w:cs="Book Antiqua"/>
          <w:lang w:val="en-GB" w:eastAsia="id-ID"/>
        </w:rPr>
        <w:t xml:space="preserve"> </w:t>
      </w:r>
      <w:r>
        <w:rPr>
          <w:rFonts w:ascii="Book Antiqua" w:hAnsi="Book Antiqua" w:cs="Book Antiqua"/>
          <w:lang w:val="en-US" w:eastAsia="id-ID"/>
        </w:rPr>
        <w:t>E</w:t>
      </w:r>
      <w:r>
        <w:rPr>
          <w:rFonts w:ascii="Book Antiqua" w:hAnsi="Book Antiqua" w:cs="Book Antiqua"/>
          <w:lang w:val="en-GB" w:eastAsia="id-ID"/>
        </w:rPr>
        <w:t xml:space="preserve">valuasi lahan basah bervegetasi mangrove dalam mengurangi pencemaran lingkungan (studi kasus di desa kepetingan kabupaten sidoarjo). </w:t>
      </w:r>
      <w:r>
        <w:rPr>
          <w:rFonts w:ascii="Book Antiqua" w:hAnsi="Book Antiqua" w:cs="Book Antiqua"/>
          <w:i/>
          <w:iCs/>
          <w:lang w:val="en-GB" w:eastAsia="id-ID"/>
        </w:rPr>
        <w:t>Masters thesis</w:t>
      </w:r>
      <w:r>
        <w:rPr>
          <w:rFonts w:ascii="Book Antiqua" w:hAnsi="Book Antiqua" w:cs="Book Antiqua"/>
          <w:lang w:val="en-GB" w:eastAsia="id-ID"/>
        </w:rPr>
        <w:t>, program pasca sarjana universitas diponegoro.</w:t>
      </w:r>
    </w:p>
    <w:p>
      <w:pPr>
        <w:spacing w:after="0" w:line="240" w:lineRule="auto"/>
        <w:ind w:left="709" w:hanging="709"/>
        <w:jc w:val="both"/>
        <w:rPr>
          <w:rFonts w:ascii="Book Antiqua" w:hAnsi="Book Antiqua" w:cs="Book Antiqua"/>
          <w:lang w:val="en-GB" w:eastAsia="id-ID"/>
        </w:rPr>
      </w:pPr>
      <w:r>
        <w:rPr>
          <w:rFonts w:ascii="Book Antiqua" w:hAnsi="Book Antiqua" w:cs="Book Antiqua"/>
          <w:lang w:val="en-GB" w:eastAsia="id-ID"/>
        </w:rPr>
        <w:t xml:space="preserve">NAEE. (2011). Environmental Literacy Framework. Retrieved from </w:t>
      </w:r>
      <w:r>
        <w:rPr>
          <w:rFonts w:ascii="Book Antiqua" w:hAnsi="Book Antiqua" w:cs="Book Antiqua"/>
          <w:i/>
          <w:iCs/>
          <w:lang w:val="en-GB" w:eastAsia="id-ID"/>
        </w:rPr>
        <w:t>https://naaee.org/our-work/programs/environmental-literacy-framework</w:t>
      </w:r>
    </w:p>
    <w:p>
      <w:pPr>
        <w:spacing w:after="0" w:line="240" w:lineRule="auto"/>
        <w:ind w:left="709" w:hanging="709"/>
        <w:jc w:val="both"/>
        <w:rPr>
          <w:rFonts w:ascii="Book Antiqua" w:hAnsi="Book Antiqua" w:cs="Book Antiqua"/>
        </w:rPr>
      </w:pPr>
      <w:r>
        <w:rPr>
          <w:rFonts w:ascii="Book Antiqua" w:hAnsi="Book Antiqua" w:cs="Book Antiqua"/>
          <w:lang w:val="en-GB"/>
        </w:rPr>
        <w:t xml:space="preserve">Nurfitriani, M,M., Karyanto, P., &amp; Prayitno, B, A. (2017). Student intention towards environmentally friendly behavior in Surakarta, Indonesia. </w:t>
      </w:r>
      <w:r>
        <w:rPr>
          <w:rFonts w:ascii="Book Antiqua" w:hAnsi="Book Antiqua" w:cs="Book Antiqua"/>
          <w:i/>
          <w:lang w:val="en-GB"/>
        </w:rPr>
        <w:t>Optimizing Educational Research Findings to Improve The Quality of Life</w:t>
      </w:r>
      <w:r>
        <w:rPr>
          <w:rFonts w:ascii="Book Antiqua" w:hAnsi="Book Antiqua" w:cs="Book Antiqua"/>
          <w:lang w:val="en-GB"/>
        </w:rPr>
        <w:t>. Yogyakarta.</w:t>
      </w:r>
    </w:p>
    <w:p>
      <w:pPr>
        <w:spacing w:after="0" w:line="240" w:lineRule="auto"/>
        <w:ind w:left="709" w:hanging="709"/>
        <w:jc w:val="both"/>
        <w:rPr>
          <w:rFonts w:ascii="Book Antiqua" w:hAnsi="Book Antiqua" w:cs="Book Antiqua"/>
          <w:lang w:val="en-GB" w:eastAsia="id-ID"/>
        </w:rPr>
      </w:pPr>
      <w:r>
        <w:rPr>
          <w:rFonts w:ascii="Book Antiqua" w:hAnsi="Book Antiqua" w:cs="Book Antiqua"/>
          <w:lang w:val="en-GB" w:eastAsia="id-ID"/>
        </w:rPr>
        <w:t>Oktarina,</w:t>
      </w:r>
      <w:r>
        <w:rPr>
          <w:rFonts w:ascii="Book Antiqua" w:hAnsi="Book Antiqua" w:cs="Book Antiqua"/>
          <w:lang w:eastAsia="id-ID"/>
        </w:rPr>
        <w:t xml:space="preserve"> e.,</w:t>
      </w:r>
      <w:r>
        <w:rPr>
          <w:rFonts w:ascii="Book Antiqua" w:hAnsi="Book Antiqua" w:cs="Book Antiqua"/>
          <w:lang w:val="en-GB" w:eastAsia="id-ID"/>
        </w:rPr>
        <w:t xml:space="preserve"> wardhani,</w:t>
      </w:r>
      <w:r>
        <w:rPr>
          <w:rFonts w:ascii="Book Antiqua" w:hAnsi="Book Antiqua" w:cs="Book Antiqua"/>
          <w:lang w:eastAsia="id-ID"/>
        </w:rPr>
        <w:t xml:space="preserve"> </w:t>
      </w:r>
      <w:r>
        <w:rPr>
          <w:rFonts w:ascii="Book Antiqua" w:hAnsi="Book Antiqua" w:cs="Book Antiqua"/>
          <w:lang w:val="en-GB" w:eastAsia="id-ID"/>
        </w:rPr>
        <w:t>k</w:t>
      </w:r>
      <w:r>
        <w:rPr>
          <w:rFonts w:ascii="Book Antiqua" w:hAnsi="Book Antiqua" w:cs="Book Antiqua"/>
          <w:lang w:eastAsia="id-ID"/>
        </w:rPr>
        <w:t xml:space="preserve"> &amp;</w:t>
      </w:r>
      <w:r>
        <w:rPr>
          <w:rFonts w:ascii="Book Antiqua" w:hAnsi="Book Antiqua" w:cs="Book Antiqua"/>
          <w:lang w:val="en-GB" w:eastAsia="id-ID"/>
        </w:rPr>
        <w:t xml:space="preserve"> marwanti</w:t>
      </w:r>
      <w:r>
        <w:rPr>
          <w:rFonts w:ascii="Book Antiqua" w:hAnsi="Book Antiqua" w:cs="Book Antiqua"/>
          <w:lang w:eastAsia="id-ID"/>
        </w:rPr>
        <w:t xml:space="preserve">, e. </w:t>
      </w:r>
      <w:r>
        <w:rPr>
          <w:rFonts w:ascii="Book Antiqua" w:hAnsi="Book Antiqua" w:cs="Book Antiqua"/>
          <w:lang w:val="en-GB" w:eastAsia="id-ID"/>
        </w:rPr>
        <w:t>2020</w:t>
      </w:r>
      <w:r>
        <w:rPr>
          <w:rFonts w:ascii="Book Antiqua" w:hAnsi="Book Antiqua" w:cs="Book Antiqua"/>
          <w:lang w:eastAsia="id-ID"/>
        </w:rPr>
        <w:t xml:space="preserve">. </w:t>
      </w:r>
      <w:r>
        <w:rPr>
          <w:rFonts w:ascii="Book Antiqua" w:hAnsi="Book Antiqua" w:cs="Book Antiqua"/>
          <w:lang w:val="en-GB" w:eastAsia="id-ID"/>
        </w:rPr>
        <w:t xml:space="preserve">Implementasi environmental literacy di </w:t>
      </w:r>
      <w:r>
        <w:rPr>
          <w:rFonts w:hint="default" w:ascii="Book Antiqua" w:hAnsi="Book Antiqua" w:cs="Book Antiqua"/>
          <w:lang w:val="en-US" w:eastAsia="id-ID"/>
        </w:rPr>
        <w:t>SD</w:t>
      </w:r>
      <w:r>
        <w:rPr>
          <w:rFonts w:ascii="Book Antiqua" w:hAnsi="Book Antiqua" w:cs="Book Antiqua"/>
          <w:lang w:val="en-GB" w:eastAsia="id-ID"/>
        </w:rPr>
        <w:t xml:space="preserve"> negeri bakalan bantul</w:t>
      </w:r>
      <w:r>
        <w:rPr>
          <w:rFonts w:ascii="Book Antiqua" w:hAnsi="Book Antiqua" w:cs="Book Antiqua"/>
          <w:lang w:eastAsia="id-ID"/>
        </w:rPr>
        <w:t xml:space="preserve">. </w:t>
      </w:r>
      <w:r>
        <w:rPr>
          <w:rFonts w:ascii="Book Antiqua" w:hAnsi="Book Antiqua" w:cs="Book Antiqua"/>
          <w:i/>
          <w:iCs/>
          <w:lang w:val="en-GB" w:eastAsia="id-ID"/>
        </w:rPr>
        <w:t xml:space="preserve">Jurnal taman cendekia. </w:t>
      </w:r>
      <w:r>
        <w:rPr>
          <w:rFonts w:ascii="Book Antiqua" w:hAnsi="Book Antiqua" w:cs="Book Antiqua"/>
          <w:iCs/>
          <w:lang w:val="en-GB" w:eastAsia="id-ID"/>
        </w:rPr>
        <w:t>4(2) 45-56.</w:t>
      </w:r>
    </w:p>
    <w:p>
      <w:pPr>
        <w:spacing w:after="0" w:line="240" w:lineRule="auto"/>
        <w:ind w:left="709" w:hanging="709"/>
        <w:jc w:val="both"/>
        <w:rPr>
          <w:rFonts w:ascii="Book Antiqua" w:hAnsi="Book Antiqua" w:cs="Book Antiqua"/>
          <w:lang w:val="en-GB" w:eastAsia="id-ID"/>
        </w:rPr>
      </w:pPr>
      <w:r>
        <w:rPr>
          <w:rFonts w:ascii="Book Antiqua" w:hAnsi="Book Antiqua" w:cs="Book Antiqua"/>
          <w:lang w:val="en-GB" w:eastAsia="id-ID"/>
        </w:rPr>
        <w:t xml:space="preserve">PISA. (2016). </w:t>
      </w:r>
      <w:r>
        <w:rPr>
          <w:rFonts w:ascii="Book Antiqua" w:hAnsi="Book Antiqua" w:cs="Book Antiqua"/>
          <w:i/>
          <w:iCs/>
          <w:lang w:val="en-GB" w:eastAsia="id-ID"/>
        </w:rPr>
        <w:t>PISA 2015 Results in Focus.</w:t>
      </w:r>
      <w:r>
        <w:rPr>
          <w:rFonts w:ascii="Book Antiqua" w:hAnsi="Book Antiqua" w:cs="Book Antiqua"/>
          <w:lang w:val="en-GB" w:eastAsia="id-ID"/>
        </w:rPr>
        <w:t xml:space="preserve"> OECD.</w:t>
      </w:r>
    </w:p>
    <w:p>
      <w:pPr>
        <w:spacing w:after="0" w:line="240" w:lineRule="auto"/>
        <w:ind w:left="709" w:hanging="709"/>
        <w:jc w:val="both"/>
        <w:rPr>
          <w:rFonts w:ascii="Book Antiqua" w:hAnsi="Book Antiqua" w:cs="Book Antiqua"/>
          <w:lang w:val="en-GB" w:eastAsia="id-ID"/>
        </w:rPr>
      </w:pPr>
      <w:r>
        <w:rPr>
          <w:rFonts w:ascii="Book Antiqua" w:hAnsi="Book Antiqua" w:cs="Book Antiqua"/>
          <w:lang w:val="en-GB" w:eastAsia="id-ID"/>
        </w:rPr>
        <w:t>Pratama, Andi Yudha</w:t>
      </w:r>
      <w:r>
        <w:rPr>
          <w:rFonts w:ascii="Book Antiqua" w:hAnsi="Book Antiqua" w:cs="Book Antiqua"/>
          <w:lang w:eastAsia="id-ID"/>
        </w:rPr>
        <w:t xml:space="preserve">., </w:t>
      </w:r>
      <w:r>
        <w:rPr>
          <w:rFonts w:ascii="Book Antiqua" w:hAnsi="Book Antiqua" w:cs="Book Antiqua"/>
          <w:lang w:val="en-GB" w:eastAsia="id-ID"/>
        </w:rPr>
        <w:t>Marpaung, Rini Rita T</w:t>
      </w:r>
      <w:r>
        <w:rPr>
          <w:rFonts w:ascii="Book Antiqua" w:hAnsi="Book Antiqua" w:cs="Book Antiqua"/>
          <w:lang w:eastAsia="id-ID"/>
        </w:rPr>
        <w:t>.,&amp;</w:t>
      </w:r>
      <w:r>
        <w:rPr>
          <w:rFonts w:ascii="Book Antiqua" w:hAnsi="Book Antiqua" w:cs="Book Antiqua"/>
          <w:lang w:val="en-GB" w:eastAsia="id-ID"/>
        </w:rPr>
        <w:t xml:space="preserve"> Yolida</w:t>
      </w:r>
      <w:r>
        <w:rPr>
          <w:rFonts w:ascii="Book Antiqua" w:hAnsi="Book Antiqua" w:cs="Book Antiqua"/>
          <w:lang w:eastAsia="id-ID"/>
        </w:rPr>
        <w:t xml:space="preserve">, </w:t>
      </w:r>
      <w:r>
        <w:rPr>
          <w:rFonts w:ascii="Book Antiqua" w:hAnsi="Book Antiqua" w:cs="Book Antiqua"/>
          <w:lang w:val="en-GB" w:eastAsia="id-ID"/>
        </w:rPr>
        <w:t xml:space="preserve">Berty </w:t>
      </w:r>
      <w:r>
        <w:rPr>
          <w:rFonts w:ascii="Book Antiqua" w:hAnsi="Book Antiqua" w:cs="Book Antiqua"/>
          <w:lang w:eastAsia="id-ID"/>
        </w:rPr>
        <w:t xml:space="preserve">. 2020. </w:t>
      </w:r>
      <w:r>
        <w:rPr>
          <w:rFonts w:ascii="Book Antiqua" w:hAnsi="Book Antiqua" w:cs="Book Antiqua"/>
          <w:lang w:val="en-GB" w:eastAsia="id-ID"/>
        </w:rPr>
        <w:t>Pengaruh literasi lingkungan terhadap environmental responsibility</w:t>
      </w:r>
      <w:r>
        <w:rPr>
          <w:rFonts w:ascii="Book Antiqua" w:hAnsi="Book Antiqua" w:cs="Book Antiqua"/>
          <w:lang w:eastAsia="id-ID"/>
        </w:rPr>
        <w:t xml:space="preserve"> </w:t>
      </w:r>
      <w:r>
        <w:rPr>
          <w:rFonts w:ascii="Book Antiqua" w:hAnsi="Book Antiqua" w:cs="Book Antiqua"/>
          <w:lang w:val="en-GB" w:eastAsia="id-ID"/>
        </w:rPr>
        <w:t xml:space="preserve">siswa kelas </w:t>
      </w:r>
      <w:r>
        <w:rPr>
          <w:rFonts w:hint="default" w:ascii="Book Antiqua" w:hAnsi="Book Antiqua" w:cs="Book Antiqua"/>
          <w:lang w:val="en-US" w:eastAsia="id-ID"/>
        </w:rPr>
        <w:t>XI</w:t>
      </w:r>
      <w:r>
        <w:rPr>
          <w:rFonts w:ascii="Book Antiqua" w:hAnsi="Book Antiqua" w:cs="Book Antiqua"/>
          <w:lang w:val="en-GB" w:eastAsia="id-ID"/>
        </w:rPr>
        <w:t xml:space="preserve"> </w:t>
      </w:r>
      <w:r>
        <w:rPr>
          <w:rFonts w:hint="default" w:ascii="Book Antiqua" w:hAnsi="Book Antiqua" w:cs="Book Antiqua"/>
          <w:lang w:val="en-US" w:eastAsia="id-ID"/>
        </w:rPr>
        <w:t>SMA N</w:t>
      </w:r>
      <w:r>
        <w:rPr>
          <w:rFonts w:ascii="Book Antiqua" w:hAnsi="Book Antiqua" w:cs="Book Antiqua"/>
          <w:lang w:val="en-GB" w:eastAsia="id-ID"/>
        </w:rPr>
        <w:t>egeri 2 bandar lampung</w:t>
      </w:r>
      <w:r>
        <w:rPr>
          <w:rFonts w:ascii="Book Antiqua" w:hAnsi="Book Antiqua" w:cs="Book Antiqua"/>
          <w:lang w:eastAsia="id-ID"/>
        </w:rPr>
        <w:t xml:space="preserve">. </w:t>
      </w:r>
      <w:r>
        <w:rPr>
          <w:rFonts w:ascii="Book Antiqua" w:hAnsi="Book Antiqua" w:cs="Book Antiqua"/>
          <w:i/>
          <w:iCs/>
          <w:lang w:val="en-GB" w:eastAsia="id-ID"/>
        </w:rPr>
        <w:t>Jurnal Bioterdidik,</w:t>
      </w:r>
      <w:r>
        <w:rPr>
          <w:rFonts w:ascii="Book Antiqua" w:hAnsi="Book Antiqua" w:cs="Book Antiqua"/>
          <w:lang w:val="en-GB" w:eastAsia="id-ID"/>
        </w:rPr>
        <w:t xml:space="preserve"> </w:t>
      </w:r>
      <w:r>
        <w:rPr>
          <w:rFonts w:ascii="Book Antiqua" w:hAnsi="Book Antiqua" w:cs="Book Antiqua"/>
          <w:i/>
          <w:iCs/>
          <w:lang w:val="en-GB" w:eastAsia="id-ID"/>
        </w:rPr>
        <w:t>8</w:t>
      </w:r>
      <w:r>
        <w:rPr>
          <w:rFonts w:ascii="Book Antiqua" w:hAnsi="Book Antiqua" w:cs="Book Antiqua"/>
          <w:lang w:val="en-GB" w:eastAsia="id-ID"/>
        </w:rPr>
        <w:t>(1) 56-65.</w:t>
      </w:r>
    </w:p>
    <w:p>
      <w:pPr>
        <w:spacing w:after="0" w:line="240" w:lineRule="auto"/>
        <w:ind w:left="567" w:hanging="567"/>
        <w:jc w:val="both"/>
        <w:rPr>
          <w:rFonts w:ascii="Book Antiqua" w:hAnsi="Book Antiqua" w:cs="Book Antiqua"/>
          <w:iCs/>
          <w:lang w:val="en-US"/>
        </w:rPr>
      </w:pPr>
      <w:r>
        <w:rPr>
          <w:rFonts w:ascii="Book Antiqua" w:hAnsi="Book Antiqua" w:cs="Book Antiqua"/>
          <w:lang w:val="en-US"/>
        </w:rPr>
        <w:t>Rabgay, T. (2018). The effect of using cooperative learning methods on tenth-grade students’ learning achievement and attitude towards biology.</w:t>
      </w:r>
      <w:r>
        <w:rPr>
          <w:rFonts w:ascii="Book Antiqua" w:hAnsi="Book Antiqua" w:cs="Book Antiqua"/>
          <w:i/>
          <w:iCs/>
          <w:lang w:val="en-US"/>
        </w:rPr>
        <w:t xml:space="preserve"> International Journal of Instruction, </w:t>
      </w:r>
      <w:r>
        <w:rPr>
          <w:rFonts w:ascii="Book Antiqua" w:hAnsi="Book Antiqua" w:cs="Book Antiqua"/>
          <w:i/>
          <w:iCs w:val="0"/>
          <w:lang w:val="en-US"/>
        </w:rPr>
        <w:t>11</w:t>
      </w:r>
      <w:r>
        <w:rPr>
          <w:rFonts w:ascii="Book Antiqua" w:hAnsi="Book Antiqua" w:cs="Book Antiqua"/>
          <w:iCs/>
          <w:lang w:val="en-US"/>
        </w:rPr>
        <w:t>(2),265-280.</w:t>
      </w:r>
    </w:p>
    <w:p>
      <w:pPr>
        <w:spacing w:after="0" w:line="240" w:lineRule="auto"/>
        <w:ind w:left="567" w:hanging="567"/>
        <w:jc w:val="both"/>
        <w:rPr>
          <w:rFonts w:ascii="Book Antiqua" w:hAnsi="Book Antiqua" w:cs="Book Antiqua"/>
          <w:lang w:val="en-US" w:eastAsia="id-ID"/>
        </w:rPr>
      </w:pPr>
      <w:r>
        <w:rPr>
          <w:rFonts w:ascii="Book Antiqua" w:hAnsi="Book Antiqua" w:cs="Book Antiqua"/>
          <w:lang w:val="en-GB" w:eastAsia="id-ID"/>
        </w:rPr>
        <w:t>Santoso</w:t>
      </w:r>
      <w:r>
        <w:rPr>
          <w:rFonts w:ascii="Book Antiqua" w:hAnsi="Book Antiqua" w:cs="Book Antiqua"/>
          <w:lang w:val="en-US" w:eastAsia="id-ID"/>
        </w:rPr>
        <w:t xml:space="preserve">, R., </w:t>
      </w:r>
      <w:r>
        <w:rPr>
          <w:rFonts w:ascii="Book Antiqua" w:hAnsi="Book Antiqua" w:cs="Book Antiqua"/>
          <w:lang w:val="en-GB" w:eastAsia="id-ID"/>
        </w:rPr>
        <w:t>Roshayanti</w:t>
      </w:r>
      <w:r>
        <w:rPr>
          <w:rFonts w:ascii="Book Antiqua" w:hAnsi="Book Antiqua" w:cs="Book Antiqua"/>
          <w:lang w:val="en-US" w:eastAsia="id-ID"/>
        </w:rPr>
        <w:t xml:space="preserve">, F., </w:t>
      </w:r>
      <w:r>
        <w:rPr>
          <w:rFonts w:ascii="Book Antiqua" w:hAnsi="Book Antiqua" w:cs="Book Antiqua"/>
          <w:lang w:val="en-GB" w:eastAsia="id-ID"/>
        </w:rPr>
        <w:t>Siswanto</w:t>
      </w:r>
      <w:r>
        <w:rPr>
          <w:rFonts w:ascii="Book Antiqua" w:hAnsi="Book Antiqua" w:cs="Book Antiqua"/>
          <w:lang w:val="en-US" w:eastAsia="id-ID"/>
        </w:rPr>
        <w:t xml:space="preserve">, </w:t>
      </w:r>
      <w:r>
        <w:rPr>
          <w:rFonts w:ascii="Book Antiqua" w:hAnsi="Book Antiqua" w:cs="Book Antiqua"/>
          <w:lang w:val="en-GB" w:eastAsia="id-ID"/>
        </w:rPr>
        <w:t>J</w:t>
      </w:r>
      <w:r>
        <w:rPr>
          <w:rFonts w:ascii="Book Antiqua" w:hAnsi="Book Antiqua" w:cs="Book Antiqua"/>
          <w:lang w:val="en-US" w:eastAsia="id-ID"/>
        </w:rPr>
        <w:t xml:space="preserve">. 2021. </w:t>
      </w:r>
      <w:r>
        <w:rPr>
          <w:rFonts w:ascii="Book Antiqua" w:hAnsi="Book Antiqua" w:cs="Book Antiqua"/>
          <w:lang w:val="en-GB" w:eastAsia="id-ID"/>
        </w:rPr>
        <w:t>ANALISIS LITERASI LINGKUNGAN SISWA SMP</w:t>
      </w:r>
      <w:r>
        <w:rPr>
          <w:rFonts w:ascii="Book Antiqua" w:hAnsi="Book Antiqua" w:cs="Book Antiqua"/>
          <w:lang w:val="en-US" w:eastAsia="id-ID"/>
        </w:rPr>
        <w:t>.</w:t>
      </w:r>
      <w:r>
        <w:rPr>
          <w:rFonts w:ascii="Book Antiqua" w:hAnsi="Book Antiqua" w:cs="Book Antiqua"/>
          <w:i/>
          <w:iCs/>
          <w:lang w:val="en-US" w:eastAsia="id-ID"/>
        </w:rPr>
        <w:t xml:space="preserve"> </w:t>
      </w:r>
      <w:r>
        <w:rPr>
          <w:rFonts w:ascii="Book Antiqua" w:hAnsi="Book Antiqua" w:cs="Book Antiqua"/>
          <w:i/>
          <w:iCs/>
          <w:lang w:val="en-GB" w:eastAsia="id-ID"/>
        </w:rPr>
        <w:t>JPPS (Jurnal Penelitian Pendidikan Sains) 10</w:t>
      </w:r>
      <w:r>
        <w:rPr>
          <w:rFonts w:ascii="Book Antiqua" w:hAnsi="Book Antiqua" w:cs="Book Antiqua"/>
          <w:lang w:val="en-GB" w:eastAsia="id-ID"/>
        </w:rPr>
        <w:t>(2) 33-42</w:t>
      </w:r>
      <w:r>
        <w:rPr>
          <w:rFonts w:ascii="Book Antiqua" w:hAnsi="Book Antiqua" w:cs="Book Antiqua"/>
          <w:lang w:val="en-US" w:eastAsia="id-ID"/>
        </w:rPr>
        <w:t>.</w:t>
      </w:r>
    </w:p>
    <w:p>
      <w:pPr>
        <w:spacing w:after="0" w:line="240" w:lineRule="auto"/>
        <w:ind w:left="567" w:hanging="567"/>
        <w:jc w:val="both"/>
        <w:rPr>
          <w:rFonts w:ascii="Book Antiqua" w:hAnsi="Book Antiqua" w:cs="Book Antiqua"/>
        </w:rPr>
      </w:pPr>
      <w:r>
        <w:rPr>
          <w:rFonts w:ascii="Book Antiqua" w:hAnsi="Book Antiqua" w:cs="Book Antiqua"/>
        </w:rPr>
        <w:t xml:space="preserve">Salim, E. (2009). </w:t>
      </w:r>
      <w:r>
        <w:rPr>
          <w:rFonts w:ascii="Book Antiqua" w:hAnsi="Book Antiqua" w:cs="Book Antiqua"/>
          <w:i/>
        </w:rPr>
        <w:t>Pembangunan berwawasan lingkungan</w:t>
      </w:r>
      <w:r>
        <w:rPr>
          <w:rFonts w:ascii="Book Antiqua" w:hAnsi="Book Antiqua" w:cs="Book Antiqua"/>
        </w:rPr>
        <w:t>. Mediatama Sarana.</w:t>
      </w:r>
    </w:p>
    <w:p>
      <w:pPr>
        <w:autoSpaceDE w:val="0"/>
        <w:autoSpaceDN w:val="0"/>
        <w:adjustRightInd w:val="0"/>
        <w:spacing w:after="0" w:line="240" w:lineRule="auto"/>
        <w:ind w:left="709" w:hanging="709"/>
        <w:jc w:val="both"/>
        <w:rPr>
          <w:rFonts w:ascii="Book Antiqua" w:hAnsi="Book Antiqua" w:cs="Book Antiqua"/>
        </w:rPr>
      </w:pPr>
      <w:r>
        <w:rPr>
          <w:rFonts w:ascii="Book Antiqua" w:hAnsi="Book Antiqua" w:cs="Book Antiqua"/>
        </w:rPr>
        <w:t xml:space="preserve">Sugiyono. (2012). </w:t>
      </w:r>
      <w:r>
        <w:rPr>
          <w:rFonts w:ascii="Book Antiqua" w:hAnsi="Book Antiqua" w:cs="Book Antiqua"/>
          <w:i/>
        </w:rPr>
        <w:t>Metode Penelitian Pendidikan Pendekatan Kuantitatif, Kualitatif, dan R&amp;D</w:t>
      </w:r>
      <w:r>
        <w:rPr>
          <w:rFonts w:ascii="Book Antiqua" w:hAnsi="Book Antiqua" w:cs="Book Antiqua"/>
        </w:rPr>
        <w:t>. Bandung: Alfabeta.</w:t>
      </w:r>
    </w:p>
    <w:p>
      <w:pPr>
        <w:spacing w:after="0" w:line="240" w:lineRule="auto"/>
        <w:ind w:left="709" w:hanging="709"/>
        <w:jc w:val="both"/>
        <w:rPr>
          <w:rFonts w:ascii="Book Antiqua" w:hAnsi="Book Antiqua" w:cs="Book Antiqua"/>
        </w:rPr>
      </w:pPr>
      <w:r>
        <w:rPr>
          <w:rFonts w:ascii="Book Antiqua" w:hAnsi="Book Antiqua" w:cs="Book Antiqua"/>
        </w:rPr>
        <w:t xml:space="preserve">Sya’ban, M. F., Sholahuddin, A., An’nur, S., Riefani, M. K. (2017). Potential wetland screening in barito kuala and banjarmasin as source of science learning. </w:t>
      </w:r>
      <w:r>
        <w:rPr>
          <w:rFonts w:ascii="Book Antiqua" w:hAnsi="Book Antiqua" w:cs="Book Antiqua"/>
          <w:i/>
        </w:rPr>
        <w:t>Advances in Social Science, Education and Humanities Research</w:t>
      </w:r>
      <w:r>
        <w:rPr>
          <w:rFonts w:ascii="Book Antiqua" w:hAnsi="Book Antiqua" w:cs="Book Antiqua"/>
        </w:rPr>
        <w:t xml:space="preserve">, </w:t>
      </w:r>
      <w:r>
        <w:rPr>
          <w:rFonts w:ascii="Book Antiqua" w:hAnsi="Book Antiqua" w:cs="Book Antiqua"/>
          <w:i/>
          <w:iCs/>
        </w:rPr>
        <w:t>100,</w:t>
      </w:r>
      <w:r>
        <w:rPr>
          <w:rFonts w:ascii="Book Antiqua" w:hAnsi="Book Antiqua" w:cs="Book Antiqua"/>
        </w:rPr>
        <w:t xml:space="preserve"> 295-297.</w:t>
      </w:r>
    </w:p>
    <w:p>
      <w:pPr>
        <w:spacing w:after="0" w:line="240" w:lineRule="auto"/>
        <w:ind w:left="709" w:hanging="709"/>
        <w:jc w:val="both"/>
        <w:rPr>
          <w:rFonts w:ascii="Book Antiqua" w:hAnsi="Book Antiqua" w:eastAsia="Times New Roman" w:cs="Book Antiqua"/>
          <w:lang w:val="en-GB"/>
        </w:rPr>
      </w:pPr>
      <w:r>
        <w:rPr>
          <w:rFonts w:ascii="Book Antiqua" w:hAnsi="Book Antiqua" w:cs="Book Antiqua"/>
          <w:lang w:val="en-GB" w:eastAsia="id-ID"/>
        </w:rPr>
        <w:t xml:space="preserve">Wibowo, P., Nirarita, C. E., Susanti, S., Padmawinata, D., Kusmarini, Syarif, M., Hendriani, Y. Kusniangsih, Sinulingga L., (1996). </w:t>
      </w:r>
      <w:r>
        <w:rPr>
          <w:rFonts w:ascii="Book Antiqua" w:hAnsi="Book Antiqua" w:cs="Book Antiqua"/>
          <w:i/>
          <w:lang w:val="en-GB" w:eastAsia="id-ID"/>
        </w:rPr>
        <w:t>Ekosistem Lahan Basah Indonesia</w:t>
      </w:r>
      <w:r>
        <w:rPr>
          <w:rFonts w:ascii="Book Antiqua" w:hAnsi="Book Antiqua" w:cs="Book Antiqua"/>
          <w:lang w:val="en-GB" w:eastAsia="id-ID"/>
        </w:rPr>
        <w:t>. Bogor: Wetland International Indonesia Programme.</w:t>
      </w:r>
      <w:r>
        <w:rPr>
          <w:rFonts w:ascii="Book Antiqua" w:hAnsi="Book Antiqua" w:cs="Book Antiqua"/>
        </w:rPr>
        <w:br w:type="page"/>
      </w:r>
    </w:p>
    <w:p>
      <w:pPr>
        <w:spacing w:after="0" w:line="240" w:lineRule="auto"/>
        <w:rPr>
          <w:rFonts w:ascii="Book Antiqua" w:hAnsi="Book Antiqua"/>
          <w:i/>
          <w:iCs/>
        </w:rPr>
      </w:pPr>
    </w:p>
    <w:p>
      <w:pPr>
        <w:pStyle w:val="24"/>
        <w:spacing w:after="0" w:line="240" w:lineRule="auto"/>
        <w:ind w:left="426"/>
        <w:jc w:val="center"/>
        <w:rPr>
          <w:rFonts w:hint="default" w:ascii="Book Antiqua" w:hAnsi="Book Antiqua" w:eastAsia="Times New Roman"/>
          <w:b/>
          <w:i/>
          <w:iCs/>
          <w:sz w:val="24"/>
          <w:szCs w:val="24"/>
        </w:rPr>
      </w:pPr>
      <w:r>
        <w:rPr>
          <w:rFonts w:hint="default" w:ascii="Book Antiqua" w:hAnsi="Book Antiqua" w:eastAsia="Times New Roman"/>
          <w:b/>
          <w:i/>
          <w:iCs/>
          <w:sz w:val="24"/>
          <w:szCs w:val="24"/>
        </w:rPr>
        <w:t>EXPLORATION STUDY OF STUDENTS' WETLAN ENVIRONMENTAL LITERACY IN ADIWIYATA ELEMENTARY SCHOOL IN BANJARMASIN</w:t>
      </w:r>
    </w:p>
    <w:p>
      <w:pPr>
        <w:spacing w:after="0" w:line="240" w:lineRule="auto"/>
        <w:ind w:left="567" w:right="567"/>
        <w:jc w:val="center"/>
        <w:rPr>
          <w:rFonts w:ascii="Book Antiqua" w:hAnsi="Book Antiqua" w:eastAsia="Times New Roman" w:cs="Times New Roman"/>
          <w:b/>
          <w:sz w:val="24"/>
          <w:szCs w:val="24"/>
          <w:lang w:val="en-US"/>
        </w:rPr>
      </w:pPr>
    </w:p>
    <w:p>
      <w:pPr>
        <w:autoSpaceDE w:val="0"/>
        <w:autoSpaceDN w:val="0"/>
        <w:adjustRightInd w:val="0"/>
        <w:spacing w:after="0" w:line="240" w:lineRule="auto"/>
        <w:ind w:left="567" w:right="567"/>
        <w:jc w:val="center"/>
        <w:rPr>
          <w:rFonts w:ascii="Book Antiqua" w:hAnsi="Book Antiqua" w:eastAsia="Times New Roman" w:cs="Times New Roman"/>
          <w:b/>
          <w:bCs/>
          <w:lang w:val="en-US"/>
        </w:rPr>
      </w:pPr>
    </w:p>
    <w:p>
      <w:pPr>
        <w:spacing w:after="0" w:line="240" w:lineRule="auto"/>
        <w:ind w:left="567" w:right="567"/>
        <w:jc w:val="center"/>
        <w:rPr>
          <w:rFonts w:ascii="Book Antiqua" w:hAnsi="Book Antiqua" w:eastAsia="Times New Roman" w:cs="Times New Roman"/>
          <w:b/>
          <w:bCs/>
          <w:lang w:val="en-US"/>
        </w:rPr>
      </w:pPr>
      <w:r>
        <w:rPr>
          <w:rFonts w:ascii="Book Antiqua" w:hAnsi="Book Antiqua" w:eastAsia="Times New Roman" w:cs="Times New Roman"/>
          <w:b/>
          <w:bCs/>
          <w:vertAlign w:val="superscript"/>
          <w:lang w:val="en-US"/>
        </w:rPr>
        <w:t>1</w:t>
      </w:r>
      <w:r>
        <w:rPr>
          <w:rFonts w:ascii="Book Antiqua" w:hAnsi="Book Antiqua" w:eastAsia="Times New Roman" w:cs="Times New Roman"/>
          <w:b/>
          <w:bCs/>
          <w:lang w:val="en-US"/>
        </w:rPr>
        <w:t xml:space="preserve">Jamilah, </w:t>
      </w:r>
      <w:r>
        <w:rPr>
          <w:rFonts w:ascii="Book Antiqua" w:hAnsi="Book Antiqua" w:eastAsia="Times New Roman" w:cs="Times New Roman"/>
          <w:b/>
          <w:bCs/>
          <w:vertAlign w:val="superscript"/>
          <w:lang w:val="en-US"/>
        </w:rPr>
        <w:t>1</w:t>
      </w:r>
      <w:r>
        <w:rPr>
          <w:rFonts w:ascii="Book Antiqua" w:hAnsi="Book Antiqua" w:eastAsia="Times New Roman" w:cs="Times New Roman"/>
          <w:b/>
          <w:bCs/>
          <w:lang w:val="en-US"/>
        </w:rPr>
        <w:t xml:space="preserve">Ikhwan Khairu Sadiqin*, </w:t>
      </w:r>
      <w:r>
        <w:rPr>
          <w:rFonts w:ascii="Book Antiqua" w:hAnsi="Book Antiqua" w:eastAsia="Times New Roman" w:cs="Times New Roman"/>
          <w:b/>
          <w:bCs/>
          <w:vertAlign w:val="superscript"/>
          <w:lang w:val="en-US"/>
        </w:rPr>
        <w:t>2</w:t>
      </w:r>
      <w:r>
        <w:rPr>
          <w:rFonts w:ascii="Book Antiqua" w:hAnsi="Book Antiqua" w:eastAsia="Times New Roman" w:cs="Times New Roman"/>
          <w:b/>
          <w:bCs/>
          <w:lang w:val="en-US"/>
        </w:rPr>
        <w:t xml:space="preserve">Fahmi </w:t>
      </w:r>
    </w:p>
    <w:p>
      <w:pPr>
        <w:spacing w:after="0" w:line="240" w:lineRule="auto"/>
        <w:ind w:left="567" w:right="567"/>
        <w:jc w:val="center"/>
        <w:rPr>
          <w:rFonts w:hint="default" w:ascii="Book Antiqua" w:hAnsi="Book Antiqua" w:eastAsia="Times New Roman"/>
          <w:sz w:val="18"/>
          <w:szCs w:val="18"/>
          <w:lang w:val="en-US"/>
        </w:rPr>
      </w:pPr>
      <w:r>
        <w:rPr>
          <w:rFonts w:ascii="Book Antiqua" w:hAnsi="Book Antiqua" w:eastAsia="Times New Roman" w:cs="Times New Roman"/>
          <w:b/>
          <w:bCs/>
          <w:vertAlign w:val="superscript"/>
          <w:lang w:val="en-US"/>
        </w:rPr>
        <w:t>1</w:t>
      </w:r>
      <w:r>
        <w:rPr>
          <w:rFonts w:hint="default" w:ascii="Book Antiqua" w:hAnsi="Book Antiqua" w:eastAsia="Times New Roman"/>
          <w:sz w:val="18"/>
          <w:szCs w:val="18"/>
          <w:lang w:val="en-US"/>
        </w:rPr>
        <w:t>Faculty of  Education, Universitas Terbuka Banjarmasin, Indonesia</w:t>
      </w:r>
    </w:p>
    <w:p>
      <w:pPr>
        <w:spacing w:after="0" w:line="240" w:lineRule="auto"/>
        <w:ind w:left="567" w:right="567"/>
        <w:jc w:val="center"/>
        <w:rPr>
          <w:rFonts w:hint="default" w:ascii="Book Antiqua" w:hAnsi="Book Antiqua" w:eastAsia="Times New Roman"/>
          <w:sz w:val="18"/>
          <w:szCs w:val="18"/>
          <w:lang w:val="en-US"/>
        </w:rPr>
      </w:pPr>
      <w:r>
        <w:rPr>
          <w:rFonts w:ascii="Book Antiqua" w:hAnsi="Book Antiqua" w:eastAsia="Times New Roman" w:cs="Times New Roman"/>
          <w:b/>
          <w:bCs/>
          <w:vertAlign w:val="superscript"/>
          <w:lang w:val="en-US"/>
        </w:rPr>
        <w:t>2</w:t>
      </w:r>
      <w:r>
        <w:rPr>
          <w:rFonts w:hint="default" w:ascii="Book Antiqua" w:hAnsi="Book Antiqua" w:eastAsia="Times New Roman"/>
          <w:sz w:val="18"/>
          <w:szCs w:val="18"/>
          <w:lang w:val="en-US"/>
        </w:rPr>
        <w:t>Science Education Department, Faculty of  Education, Universitas Lambung Mangkurat, Banjarmasin, Indonesia</w:t>
      </w:r>
    </w:p>
    <w:p>
      <w:pPr>
        <w:spacing w:after="0" w:line="240" w:lineRule="auto"/>
        <w:ind w:left="567" w:right="567"/>
        <w:jc w:val="center"/>
        <w:rPr>
          <w:rFonts w:ascii="Book Antiqua" w:hAnsi="Book Antiqua" w:eastAsia="Times New Roman" w:cs="Times New Roman"/>
          <w:spacing w:val="-4"/>
          <w:shd w:val="clear" w:color="auto" w:fill="FFFFFF"/>
        </w:rPr>
      </w:pPr>
    </w:p>
    <w:p>
      <w:pPr>
        <w:autoSpaceDE w:val="0"/>
        <w:autoSpaceDN w:val="0"/>
        <w:adjustRightInd w:val="0"/>
        <w:spacing w:after="0" w:line="240" w:lineRule="auto"/>
        <w:ind w:left="567" w:right="566"/>
        <w:jc w:val="both"/>
        <w:rPr>
          <w:rFonts w:ascii="Book Antiqua" w:hAnsi="Book Antiqua" w:eastAsia="Times New Roman" w:cs="Times New Roman"/>
          <w:bCs/>
          <w:spacing w:val="-4"/>
          <w:sz w:val="18"/>
          <w:szCs w:val="18"/>
          <w:highlight w:val="lightGray"/>
        </w:rPr>
      </w:pPr>
      <w:r>
        <w:rPr>
          <w:rFonts w:ascii="Book Antiqua" w:hAnsi="Book Antiqua" w:eastAsia="Times New Roman" w:cs="Times New Roman"/>
          <w:bCs/>
          <w:spacing w:val="-4"/>
          <w:sz w:val="18"/>
          <w:szCs w:val="18"/>
          <w:highlight w:val="lightGray"/>
        </w:rPr>
        <w:t xml:space="preserve">Submit: </w:t>
      </w:r>
      <w:r>
        <w:rPr>
          <w:rFonts w:ascii="Book Antiqua" w:hAnsi="Book Antiqua" w:eastAsia="Times New Roman" w:cs="Times New Roman"/>
          <w:bCs/>
          <w:color w:val="FF0000"/>
          <w:spacing w:val="-4"/>
          <w:sz w:val="18"/>
          <w:szCs w:val="18"/>
          <w:highlight w:val="lightGray"/>
        </w:rPr>
        <w:t>00 Bulan tahun</w:t>
      </w:r>
      <w:r>
        <w:rPr>
          <w:rFonts w:ascii="Book Antiqua" w:hAnsi="Book Antiqua" w:eastAsia="Times New Roman" w:cs="Times New Roman"/>
          <w:bCs/>
          <w:spacing w:val="-4"/>
          <w:sz w:val="18"/>
          <w:szCs w:val="18"/>
          <w:highlight w:val="lightGray"/>
        </w:rPr>
        <w:tab/>
      </w:r>
      <w:r>
        <w:rPr>
          <w:rFonts w:ascii="Book Antiqua" w:hAnsi="Book Antiqua" w:eastAsia="Times New Roman" w:cs="Times New Roman"/>
          <w:bCs/>
          <w:spacing w:val="-4"/>
          <w:sz w:val="18"/>
          <w:szCs w:val="18"/>
          <w:highlight w:val="lightGray"/>
        </w:rPr>
        <w:tab/>
      </w:r>
      <w:r>
        <w:rPr>
          <w:rFonts w:ascii="Book Antiqua" w:hAnsi="Book Antiqua" w:eastAsia="Times New Roman" w:cs="Times New Roman"/>
          <w:bCs/>
          <w:spacing w:val="-4"/>
          <w:sz w:val="18"/>
          <w:szCs w:val="18"/>
          <w:highlight w:val="lightGray"/>
        </w:rPr>
        <w:tab/>
      </w:r>
      <w:r>
        <w:rPr>
          <w:rFonts w:ascii="Book Antiqua" w:hAnsi="Book Antiqua" w:eastAsia="Times New Roman" w:cs="Times New Roman"/>
          <w:bCs/>
          <w:spacing w:val="-4"/>
          <w:sz w:val="18"/>
          <w:szCs w:val="18"/>
          <w:highlight w:val="lightGray"/>
        </w:rPr>
        <w:t>Accepted</w:t>
      </w:r>
      <w:r>
        <w:rPr>
          <w:rFonts w:ascii="Book Antiqua" w:hAnsi="Book Antiqua" w:eastAsia="Times New Roman" w:cs="Times New Roman"/>
          <w:bCs/>
          <w:spacing w:val="-4"/>
          <w:sz w:val="18"/>
          <w:szCs w:val="18"/>
          <w:highlight w:val="lightGray"/>
        </w:rPr>
        <w:tab/>
      </w:r>
      <w:r>
        <w:rPr>
          <w:rFonts w:ascii="Book Antiqua" w:hAnsi="Book Antiqua" w:eastAsia="Times New Roman" w:cs="Times New Roman"/>
          <w:bCs/>
          <w:spacing w:val="-4"/>
          <w:sz w:val="18"/>
          <w:szCs w:val="18"/>
          <w:highlight w:val="lightGray"/>
        </w:rPr>
        <w:t xml:space="preserve">: </w:t>
      </w:r>
      <w:r>
        <w:rPr>
          <w:rFonts w:ascii="Book Antiqua" w:hAnsi="Book Antiqua" w:eastAsia="Times New Roman" w:cs="Times New Roman"/>
          <w:bCs/>
          <w:color w:val="FF0000"/>
          <w:spacing w:val="-4"/>
          <w:sz w:val="18"/>
          <w:szCs w:val="18"/>
          <w:highlight w:val="lightGray"/>
        </w:rPr>
        <w:t>00 Bulan tahun</w:t>
      </w:r>
    </w:p>
    <w:p>
      <w:pPr>
        <w:autoSpaceDE w:val="0"/>
        <w:autoSpaceDN w:val="0"/>
        <w:adjustRightInd w:val="0"/>
        <w:spacing w:after="0" w:line="240" w:lineRule="auto"/>
        <w:ind w:left="567" w:right="566"/>
        <w:jc w:val="both"/>
        <w:rPr>
          <w:rFonts w:ascii="Book Antiqua" w:hAnsi="Book Antiqua" w:eastAsia="Times New Roman" w:cs="Times New Roman"/>
          <w:bCs/>
          <w:spacing w:val="-4"/>
        </w:rPr>
      </w:pPr>
    </w:p>
    <w:p>
      <w:pPr>
        <w:autoSpaceDE w:val="0"/>
        <w:autoSpaceDN w:val="0"/>
        <w:adjustRightInd w:val="0"/>
        <w:spacing w:after="0" w:line="240" w:lineRule="auto"/>
        <w:ind w:left="567" w:right="566"/>
        <w:jc w:val="both"/>
        <w:rPr>
          <w:rFonts w:ascii="Book Antiqua" w:hAnsi="Book Antiqua" w:eastAsia="Times New Roman" w:cs="Times New Roman"/>
          <w:sz w:val="18"/>
          <w:szCs w:val="18"/>
          <w:lang w:val="en-US"/>
        </w:rPr>
      </w:pPr>
      <w:r>
        <w:rPr>
          <w:rFonts w:ascii="Book Antiqua" w:hAnsi="Book Antiqua" w:eastAsia="Times New Roman" w:cs="Times New Roman"/>
          <w:b/>
          <w:spacing w:val="-4"/>
          <w:sz w:val="18"/>
          <w:szCs w:val="18"/>
        </w:rPr>
        <w:t>*Corresponding author:</w:t>
      </w:r>
      <w:r>
        <w:rPr>
          <w:rFonts w:ascii="Book Antiqua" w:hAnsi="Book Antiqua" w:eastAsia="Times New Roman" w:cs="Times New Roman"/>
          <w:bCs/>
          <w:spacing w:val="-4"/>
          <w:sz w:val="18"/>
          <w:szCs w:val="18"/>
        </w:rPr>
        <w:t xml:space="preserve"> </w:t>
      </w:r>
      <w:r>
        <w:rPr>
          <w:rFonts w:ascii="Book Antiqua" w:hAnsi="Book Antiqua" w:eastAsia="Times New Roman" w:cs="Times New Roman"/>
          <w:bCs/>
          <w:spacing w:val="-4"/>
          <w:sz w:val="18"/>
          <w:szCs w:val="18"/>
          <w:lang w:val="en-US"/>
        </w:rPr>
        <w:fldChar w:fldCharType="begin"/>
      </w:r>
      <w:r>
        <w:rPr>
          <w:rFonts w:ascii="Book Antiqua" w:hAnsi="Book Antiqua" w:eastAsia="Times New Roman" w:cs="Times New Roman"/>
          <w:bCs/>
          <w:spacing w:val="-4"/>
          <w:sz w:val="18"/>
          <w:szCs w:val="18"/>
          <w:lang w:val="en-US"/>
        </w:rPr>
        <w:instrText xml:space="preserve"> HYPERLINK "mailto:ksikhwan@gmail.com" </w:instrText>
      </w:r>
      <w:r>
        <w:rPr>
          <w:rFonts w:ascii="Book Antiqua" w:hAnsi="Book Antiqua" w:eastAsia="Times New Roman" w:cs="Times New Roman"/>
          <w:bCs/>
          <w:spacing w:val="-4"/>
          <w:sz w:val="18"/>
          <w:szCs w:val="18"/>
          <w:lang w:val="en-US"/>
        </w:rPr>
        <w:fldChar w:fldCharType="separate"/>
      </w:r>
      <w:r>
        <w:rPr>
          <w:rStyle w:val="10"/>
          <w:rFonts w:ascii="Book Antiqua" w:hAnsi="Book Antiqua" w:eastAsia="Times New Roman" w:cs="Times New Roman"/>
          <w:bCs/>
          <w:spacing w:val="-4"/>
          <w:sz w:val="18"/>
          <w:szCs w:val="18"/>
          <w:lang w:val="en-US"/>
        </w:rPr>
        <w:t>ksikhwan</w:t>
      </w:r>
      <w:r>
        <w:rPr>
          <w:rStyle w:val="10"/>
          <w:rFonts w:ascii="Book Antiqua" w:hAnsi="Book Antiqua" w:eastAsia="Times New Roman" w:cs="Times New Roman"/>
          <w:sz w:val="18"/>
          <w:szCs w:val="18"/>
          <w:lang w:val="en-US"/>
        </w:rPr>
        <w:t>@gmail.com</w:t>
      </w:r>
      <w:r>
        <w:rPr>
          <w:rFonts w:ascii="Book Antiqua" w:hAnsi="Book Antiqua" w:eastAsia="Times New Roman" w:cs="Times New Roman"/>
          <w:bCs/>
          <w:spacing w:val="-4"/>
          <w:sz w:val="18"/>
          <w:szCs w:val="18"/>
          <w:lang w:val="en-US"/>
        </w:rPr>
        <w:fldChar w:fldCharType="end"/>
      </w:r>
    </w:p>
    <w:p>
      <w:pPr>
        <w:autoSpaceDE w:val="0"/>
        <w:autoSpaceDN w:val="0"/>
        <w:adjustRightInd w:val="0"/>
        <w:spacing w:after="0" w:line="240" w:lineRule="auto"/>
        <w:ind w:left="567" w:right="566"/>
        <w:jc w:val="both"/>
        <w:rPr>
          <w:rFonts w:ascii="Book Antiqua" w:hAnsi="Book Antiqua" w:eastAsia="Times New Roman" w:cs="Times New Roman"/>
          <w:sz w:val="18"/>
          <w:szCs w:val="18"/>
          <w:lang w:val="en-US"/>
        </w:rPr>
      </w:pPr>
    </w:p>
    <w:p>
      <w:pPr>
        <w:spacing w:after="0" w:line="240" w:lineRule="auto"/>
        <w:ind w:right="567"/>
        <w:rPr>
          <w:rFonts w:ascii="Book Antiqua" w:hAnsi="Book Antiqua" w:eastAsia="Times New Roman" w:cs="Times New Roman"/>
          <w:b/>
          <w:bCs/>
          <w:i/>
          <w:spacing w:val="-4"/>
          <w:lang w:val="en-US"/>
        </w:rPr>
      </w:pPr>
    </w:p>
    <w:p>
      <w:pPr>
        <w:autoSpaceDE w:val="0"/>
        <w:autoSpaceDN w:val="0"/>
        <w:adjustRightInd w:val="0"/>
        <w:spacing w:after="0" w:line="240" w:lineRule="auto"/>
        <w:ind w:left="567" w:right="567"/>
        <w:jc w:val="both"/>
        <w:rPr>
          <w:rFonts w:ascii="Book Antiqua" w:hAnsi="Book Antiqua" w:eastAsia="Times New Roman" w:cs="Times New Roman"/>
          <w:i/>
          <w:spacing w:val="-4"/>
          <w:sz w:val="18"/>
          <w:szCs w:val="18"/>
        </w:rPr>
      </w:pPr>
      <w:r>
        <w:rPr>
          <w:rFonts w:ascii="Book Antiqua" w:hAnsi="Book Antiqua" w:eastAsia="Times New Roman" w:cs="Times New Roman"/>
          <w:b/>
          <w:i/>
          <w:spacing w:val="-4"/>
          <w:sz w:val="18"/>
          <w:szCs w:val="18"/>
        </w:rPr>
        <w:t>Abstract</w:t>
      </w:r>
      <w:r>
        <w:rPr>
          <w:rFonts w:ascii="Book Antiqua" w:hAnsi="Book Antiqua" w:eastAsia="Times New Roman" w:cs="Times New Roman"/>
          <w:i/>
          <w:spacing w:val="-4"/>
          <w:sz w:val="18"/>
          <w:szCs w:val="18"/>
        </w:rPr>
        <w:t xml:space="preserve">: </w:t>
      </w:r>
      <w:r>
        <w:rPr>
          <w:rFonts w:hint="default" w:ascii="Book Antiqua" w:hAnsi="Book Antiqua" w:eastAsia="Times New Roman" w:cs="Times New Roman"/>
          <w:i/>
          <w:spacing w:val="-4"/>
          <w:sz w:val="18"/>
          <w:szCs w:val="18"/>
        </w:rPr>
        <w:t>The purpose of this study is to describe the literacy aspects of wetlands</w:t>
      </w:r>
      <w:r>
        <w:rPr>
          <w:rFonts w:hint="default" w:ascii="Book Antiqua" w:hAnsi="Book Antiqua" w:eastAsia="Times New Roman" w:cs="Times New Roman"/>
          <w:i/>
          <w:spacing w:val="-4"/>
          <w:sz w:val="18"/>
          <w:szCs w:val="18"/>
          <w:lang w:val="en-US"/>
        </w:rPr>
        <w:t xml:space="preserve"> </w:t>
      </w:r>
      <w:r>
        <w:rPr>
          <w:rFonts w:hint="default" w:ascii="Book Antiqua" w:hAnsi="Book Antiqua" w:eastAsia="Times New Roman" w:cs="Times New Roman"/>
          <w:i/>
          <w:spacing w:val="-4"/>
          <w:sz w:val="18"/>
          <w:szCs w:val="18"/>
        </w:rPr>
        <w:t>knowledge in elementary school students'. This research is of a descriptive type, exploring students' understanding of wetlands levels and the characteristics of the material from the student's point of view. Instruments in the form of questions and opinion polls on environmental knowledge were developed from the NAEE and PISA formulations. The discussion is presented in a qualitative descriptive manner based on quantitative data in the form of tests and interviews. The subjects were 60 students at Adiwiyata Elementary School in the city of Banjarmasin. The sample selection technique was carried out by purposive sampling by considering the characteristics of the teacher's and student's residence, the adiwiyata curriculum and the research objectives. The results of the study found that elementary school students tended to have literacy skills in the wetland environment for students in the good category. The average score reached 75.35. The trigger is that students in the Banjarmasin area are very much in touch with nature, both flora and fauna so that students can know and experience it firsthand. The literacy indicator that students mastered the most was about flora and fauna, which was included in the very good category with a score of 85.43. This point is well mastered because it is supported by the teaching of PLH and adiwiyata programs. Other indicators that are still lacking are caused by not optimal field studies or direct observation of wetlands.</w:t>
      </w:r>
    </w:p>
    <w:p>
      <w:pPr>
        <w:spacing w:after="0" w:line="240" w:lineRule="auto"/>
        <w:ind w:left="567" w:right="567"/>
        <w:jc w:val="both"/>
        <w:rPr>
          <w:rFonts w:ascii="Book Antiqua" w:hAnsi="Book Antiqua" w:eastAsia="Times New Roman" w:cs="Times New Roman"/>
          <w:b/>
          <w:i/>
          <w:spacing w:val="-4"/>
          <w:lang w:val="en-US"/>
        </w:rPr>
      </w:pPr>
    </w:p>
    <w:p>
      <w:pPr>
        <w:spacing w:after="0" w:line="240" w:lineRule="auto"/>
        <w:ind w:left="567" w:right="567"/>
        <w:jc w:val="both"/>
        <w:rPr>
          <w:rFonts w:ascii="Book Antiqua" w:hAnsi="Book Antiqua" w:eastAsia="Times New Roman" w:cs="Times New Roman"/>
          <w:i/>
          <w:spacing w:val="-4"/>
          <w:sz w:val="18"/>
          <w:szCs w:val="18"/>
        </w:rPr>
      </w:pPr>
      <w:r>
        <w:rPr>
          <w:rFonts w:ascii="Book Antiqua" w:hAnsi="Book Antiqua" w:eastAsia="Times New Roman" w:cs="Times New Roman"/>
          <w:b/>
          <w:i/>
          <w:spacing w:val="-4"/>
          <w:sz w:val="18"/>
          <w:szCs w:val="18"/>
          <w:lang w:val="en-US"/>
        </w:rPr>
        <w:t>Keywords</w:t>
      </w:r>
      <w:r>
        <w:rPr>
          <w:rFonts w:ascii="Book Antiqua" w:hAnsi="Book Antiqua" w:eastAsia="Times New Roman" w:cs="Times New Roman"/>
          <w:i/>
          <w:spacing w:val="-4"/>
          <w:sz w:val="18"/>
          <w:szCs w:val="18"/>
          <w:lang w:val="en-US"/>
        </w:rPr>
        <w:t xml:space="preserve">: </w:t>
      </w:r>
      <w:r>
        <w:rPr>
          <w:rFonts w:hint="default" w:ascii="Book Antiqua" w:hAnsi="Book Antiqua" w:eastAsia="Times New Roman" w:cs="Times New Roman"/>
          <w:i/>
          <w:spacing w:val="-4"/>
          <w:sz w:val="18"/>
          <w:szCs w:val="18"/>
        </w:rPr>
        <w:t>environmental literacy, wetlands, adiwiyata, PLH.</w:t>
      </w:r>
    </w:p>
    <w:p>
      <w:pPr>
        <w:spacing w:after="0" w:line="240" w:lineRule="auto"/>
        <w:rPr>
          <w:rFonts w:ascii="Book Antiqua" w:hAnsi="Book Antiqua"/>
        </w:rPr>
      </w:pPr>
    </w:p>
    <w:p>
      <w:pPr>
        <w:spacing w:after="0" w:line="240" w:lineRule="auto"/>
        <w:rPr>
          <w:rFonts w:ascii="Book Antiqua" w:hAnsi="Book Antiqua"/>
        </w:rPr>
      </w:pPr>
    </w:p>
    <w:p>
      <w:pPr>
        <w:autoSpaceDE w:val="0"/>
        <w:autoSpaceDN w:val="0"/>
        <w:adjustRightInd w:val="0"/>
        <w:spacing w:after="0" w:line="240" w:lineRule="auto"/>
        <w:ind w:left="567" w:right="567"/>
        <w:jc w:val="both"/>
        <w:rPr>
          <w:rFonts w:ascii="Book Antiqua" w:hAnsi="Book Antiqua" w:eastAsia="Times New Roman" w:cs="Times New Roman"/>
          <w:i/>
          <w:spacing w:val="-4"/>
          <w:sz w:val="18"/>
          <w:szCs w:val="18"/>
        </w:rPr>
      </w:pPr>
    </w:p>
    <w:sectPr>
      <w:headerReference r:id="rId7" w:type="first"/>
      <w:headerReference r:id="rId5" w:type="default"/>
      <w:footerReference r:id="rId8" w:type="default"/>
      <w:headerReference r:id="rId6" w:type="even"/>
      <w:footerReference r:id="rId9" w:type="even"/>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Book Antiqua">
    <w:panose1 w:val="02040602050305030304"/>
    <w:charset w:val="00"/>
    <w:family w:val="roman"/>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pPr>
    <w:r>
      <w:fldChar w:fldCharType="begin"/>
    </w:r>
    <w:r>
      <w:instrText xml:space="preserve"> PAGE   \* MERGEFORMAT </w:instrText>
    </w:r>
    <w:r>
      <w:fldChar w:fldCharType="separate"/>
    </w:r>
    <w:r>
      <w:t>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pPr>
    <w:r>
      <w:rPr>
        <w:color w:val="FF0000"/>
      </w:rPr>
      <w:fldChar w:fldCharType="begin"/>
    </w:r>
    <w:r>
      <w:rPr>
        <w:color w:val="FF0000"/>
      </w:rPr>
      <w:instrText xml:space="preserve"> PAGE   \* MERGEFORMAT </w:instrText>
    </w:r>
    <w:r>
      <w:rPr>
        <w:color w:val="FF0000"/>
      </w:rPr>
      <w:fldChar w:fldCharType="separate"/>
    </w:r>
    <w:r>
      <w:rPr>
        <w:color w:val="FF0000"/>
      </w:rPr>
      <w:t>16</w:t>
    </w:r>
    <w:r>
      <w:rPr>
        <w:color w:val="FF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320"/>
        <w:tab w:val="right" w:pos="8640"/>
      </w:tabs>
      <w:spacing w:after="0" w:line="240" w:lineRule="auto"/>
      <w:jc w:val="right"/>
      <w:rPr>
        <w:rFonts w:ascii="Times New Roman" w:hAnsi="Times New Roman" w:eastAsia="Times New Roman" w:cs="Times New Roman"/>
        <w:i/>
        <w:spacing w:val="-6"/>
        <w:sz w:val="18"/>
        <w:szCs w:val="18"/>
        <w:lang w:val="id-ID"/>
      </w:rPr>
    </w:pPr>
    <w:r>
      <w:rPr>
        <w:rFonts w:ascii="Times New Roman" w:hAnsi="Times New Roman" w:eastAsia="Times New Roman" w:cs="Times New Roman"/>
        <w:b/>
        <w:i/>
        <w:sz w:val="18"/>
        <w:szCs w:val="18"/>
        <w:lang w:val="id-ID"/>
      </w:rPr>
      <w:t>J</w:t>
    </w:r>
    <w:r>
      <w:rPr>
        <w:rFonts w:ascii="Times New Roman" w:hAnsi="Times New Roman" w:eastAsia="Times New Roman" w:cs="Times New Roman"/>
        <w:b/>
        <w:i/>
        <w:sz w:val="18"/>
        <w:szCs w:val="18"/>
        <w:lang w:val="en-US"/>
      </w:rPr>
      <w:t>o</w:t>
    </w:r>
    <w:r>
      <w:rPr>
        <w:rFonts w:ascii="Times New Roman" w:hAnsi="Times New Roman" w:eastAsia="Times New Roman" w:cs="Times New Roman"/>
        <w:b/>
        <w:i/>
        <w:sz w:val="18"/>
        <w:szCs w:val="18"/>
        <w:lang w:val="id-ID"/>
      </w:rPr>
      <w:t>urnal</w:t>
    </w:r>
    <w:r>
      <w:rPr>
        <w:rFonts w:ascii="Times New Roman" w:hAnsi="Times New Roman" w:eastAsia="Times New Roman" w:cs="Times New Roman"/>
        <w:b/>
        <w:i/>
        <w:sz w:val="18"/>
        <w:szCs w:val="18"/>
        <w:lang w:val="en-US"/>
      </w:rPr>
      <w:t xml:space="preserve"> of Banua Science</w:t>
    </w:r>
    <w:r>
      <w:rPr>
        <w:rFonts w:ascii="Times New Roman" w:hAnsi="Times New Roman" w:eastAsia="Times New Roman" w:cs="Times New Roman"/>
        <w:b/>
        <w:i/>
        <w:sz w:val="18"/>
        <w:szCs w:val="18"/>
        <w:lang w:val="id-ID"/>
      </w:rPr>
      <w:t xml:space="preserve"> </w:t>
    </w:r>
    <w:r>
      <w:rPr>
        <w:rFonts w:ascii="Times New Roman" w:hAnsi="Times New Roman" w:eastAsia="Times New Roman" w:cs="Times New Roman"/>
        <w:b/>
        <w:i/>
        <w:sz w:val="18"/>
        <w:szCs w:val="18"/>
        <w:lang w:val="en-US"/>
      </w:rPr>
      <w:t>Education</w:t>
    </w:r>
    <w:r>
      <w:rPr>
        <w:rFonts w:ascii="Times New Roman" w:hAnsi="Times New Roman" w:eastAsia="Times New Roman" w:cs="Times New Roman"/>
        <w:b/>
        <w:i/>
        <w:sz w:val="18"/>
        <w:szCs w:val="18"/>
      </w:rPr>
      <w:t xml:space="preserve">, </w:t>
    </w:r>
    <w:r>
      <w:rPr>
        <w:rFonts w:ascii="Times New Roman" w:hAnsi="Times New Roman" w:eastAsia="Times New Roman" w:cs="Times New Roman"/>
        <w:i/>
        <w:color w:val="FF0000"/>
        <w:sz w:val="18"/>
        <w:szCs w:val="18"/>
      </w:rPr>
      <w:t>Vol.</w:t>
    </w:r>
    <w:r>
      <w:rPr>
        <w:rFonts w:ascii="Times New Roman" w:hAnsi="Times New Roman" w:eastAsia="Times New Roman" w:cs="Times New Roman"/>
        <w:i/>
        <w:color w:val="FF0000"/>
        <w:sz w:val="18"/>
        <w:szCs w:val="18"/>
        <w:lang w:val="id-ID"/>
      </w:rPr>
      <w:t xml:space="preserve"> </w:t>
    </w:r>
    <w:r>
      <w:rPr>
        <w:rFonts w:ascii="Times New Roman" w:hAnsi="Times New Roman" w:eastAsia="Times New Roman" w:cs="Times New Roman"/>
        <w:i/>
        <w:color w:val="FF0000"/>
        <w:sz w:val="18"/>
        <w:szCs w:val="18"/>
      </w:rPr>
      <w:t>03</w:t>
    </w:r>
    <w:r>
      <w:rPr>
        <w:rFonts w:ascii="Times New Roman" w:hAnsi="Times New Roman" w:eastAsia="Times New Roman" w:cs="Times New Roman"/>
        <w:i/>
        <w:color w:val="FF0000"/>
        <w:sz w:val="18"/>
        <w:szCs w:val="18"/>
        <w:lang w:val="id-ID"/>
      </w:rPr>
      <w:t>, N</w:t>
    </w:r>
    <w:r>
      <w:rPr>
        <w:rFonts w:ascii="Times New Roman" w:hAnsi="Times New Roman" w:eastAsia="Times New Roman" w:cs="Times New Roman"/>
        <w:i/>
        <w:color w:val="FF0000"/>
        <w:sz w:val="18"/>
        <w:szCs w:val="18"/>
      </w:rPr>
      <w:t>o. 01</w:t>
    </w:r>
    <w:r>
      <w:rPr>
        <w:rFonts w:ascii="Times New Roman" w:hAnsi="Times New Roman" w:eastAsia="Times New Roman" w:cs="Times New Roman"/>
        <w:i/>
        <w:color w:val="FF0000"/>
        <w:sz w:val="18"/>
        <w:szCs w:val="18"/>
        <w:lang w:val="id-ID"/>
      </w:rPr>
      <w:t>, 20</w:t>
    </w:r>
    <w:r>
      <w:rPr>
        <w:rFonts w:ascii="Times New Roman" w:hAnsi="Times New Roman" w:eastAsia="Times New Roman" w:cs="Times New Roman"/>
        <w:i/>
        <w:color w:val="FF0000"/>
        <w:sz w:val="18"/>
        <w:szCs w:val="18"/>
      </w:rPr>
      <w:t>22</w:t>
    </w:r>
    <w:r>
      <w:rPr>
        <w:rFonts w:ascii="Times New Roman" w:hAnsi="Times New Roman" w:eastAsia="Times New Roman" w:cs="Times New Roman"/>
        <w:i/>
        <w:color w:val="FF0000"/>
        <w:sz w:val="18"/>
        <w:szCs w:val="18"/>
        <w:lang w:val="id-ID"/>
      </w:rPr>
      <w:t>, hlm.</w:t>
    </w:r>
    <w:r>
      <w:rPr>
        <w:rFonts w:ascii="Times New Roman" w:hAnsi="Times New Roman" w:eastAsia="Times New Roman" w:cs="Times New Roman"/>
        <w:i/>
        <w:color w:val="FF0000"/>
        <w:sz w:val="18"/>
        <w:szCs w:val="18"/>
      </w:rPr>
      <w:t xml:space="preserve"> 1-8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320"/>
        <w:tab w:val="right" w:pos="8640"/>
      </w:tabs>
      <w:spacing w:after="0" w:line="240" w:lineRule="auto"/>
      <w:jc w:val="right"/>
      <w:rPr>
        <w:rFonts w:ascii="Times New Roman" w:hAnsi="Times New Roman" w:eastAsia="Times New Roman" w:cs="Times New Roman"/>
        <w:b/>
        <w:i/>
        <w:color w:val="FF0000"/>
        <w:spacing w:val="-6"/>
        <w:sz w:val="18"/>
        <w:szCs w:val="18"/>
      </w:rPr>
    </w:pPr>
    <w:r>
      <w:rPr>
        <w:rFonts w:ascii="Times New Roman" w:hAnsi="Times New Roman" w:eastAsia="Times New Roman" w:cs="Times New Roman"/>
        <w:b/>
        <w:i/>
        <w:sz w:val="18"/>
        <w:szCs w:val="18"/>
        <w:lang w:val="id-ID"/>
      </w:rPr>
      <w:t>J</w:t>
    </w:r>
    <w:r>
      <w:rPr>
        <w:rFonts w:ascii="Times New Roman" w:hAnsi="Times New Roman" w:eastAsia="Times New Roman" w:cs="Times New Roman"/>
        <w:b/>
        <w:i/>
        <w:sz w:val="18"/>
        <w:szCs w:val="18"/>
        <w:lang w:val="en-US"/>
      </w:rPr>
      <w:t>o</w:t>
    </w:r>
    <w:r>
      <w:rPr>
        <w:rFonts w:ascii="Times New Roman" w:hAnsi="Times New Roman" w:eastAsia="Times New Roman" w:cs="Times New Roman"/>
        <w:b/>
        <w:i/>
        <w:sz w:val="18"/>
        <w:szCs w:val="18"/>
        <w:lang w:val="id-ID"/>
      </w:rPr>
      <w:t>urnal</w:t>
    </w:r>
    <w:r>
      <w:rPr>
        <w:rFonts w:ascii="Times New Roman" w:hAnsi="Times New Roman" w:eastAsia="Times New Roman" w:cs="Times New Roman"/>
        <w:b/>
        <w:i/>
        <w:sz w:val="18"/>
        <w:szCs w:val="18"/>
        <w:lang w:val="en-US"/>
      </w:rPr>
      <w:t xml:space="preserve"> of Banua Science</w:t>
    </w:r>
    <w:r>
      <w:rPr>
        <w:rFonts w:ascii="Times New Roman" w:hAnsi="Times New Roman" w:eastAsia="Times New Roman" w:cs="Times New Roman"/>
        <w:b/>
        <w:i/>
        <w:sz w:val="18"/>
        <w:szCs w:val="18"/>
        <w:lang w:val="id-ID"/>
      </w:rPr>
      <w:t xml:space="preserve"> </w:t>
    </w:r>
    <w:r>
      <w:rPr>
        <w:rFonts w:ascii="Times New Roman" w:hAnsi="Times New Roman" w:eastAsia="Times New Roman" w:cs="Times New Roman"/>
        <w:b/>
        <w:i/>
        <w:sz w:val="18"/>
        <w:szCs w:val="18"/>
        <w:lang w:val="en-US"/>
      </w:rPr>
      <w:t>Education</w:t>
    </w:r>
    <w:r>
      <w:rPr>
        <w:rFonts w:ascii="Times New Roman" w:hAnsi="Times New Roman" w:eastAsia="Times New Roman" w:cs="Times New Roman"/>
        <w:b/>
        <w:i/>
        <w:sz w:val="18"/>
        <w:szCs w:val="18"/>
      </w:rPr>
      <w:t xml:space="preserve">, </w:t>
    </w:r>
    <w:r>
      <w:rPr>
        <w:rFonts w:ascii="Times New Roman" w:hAnsi="Times New Roman" w:eastAsia="Times New Roman" w:cs="Times New Roman"/>
        <w:i/>
        <w:sz w:val="18"/>
        <w:szCs w:val="18"/>
      </w:rPr>
      <w:t>Vol.</w:t>
    </w:r>
    <w:r>
      <w:rPr>
        <w:rFonts w:ascii="Times New Roman" w:hAnsi="Times New Roman" w:eastAsia="Times New Roman" w:cs="Times New Roman"/>
        <w:i/>
        <w:sz w:val="18"/>
        <w:szCs w:val="18"/>
        <w:lang w:val="id-ID"/>
      </w:rPr>
      <w:t xml:space="preserve"> </w:t>
    </w:r>
    <w:r>
      <w:rPr>
        <w:rFonts w:ascii="Times New Roman" w:hAnsi="Times New Roman" w:eastAsia="Times New Roman" w:cs="Times New Roman"/>
        <w:i/>
        <w:sz w:val="18"/>
        <w:szCs w:val="18"/>
      </w:rPr>
      <w:t>03</w:t>
    </w:r>
    <w:r>
      <w:rPr>
        <w:rFonts w:ascii="Times New Roman" w:hAnsi="Times New Roman" w:eastAsia="Times New Roman" w:cs="Times New Roman"/>
        <w:i/>
        <w:sz w:val="18"/>
        <w:szCs w:val="18"/>
        <w:lang w:val="id-ID"/>
      </w:rPr>
      <w:t>, N</w:t>
    </w:r>
    <w:r>
      <w:rPr>
        <w:rFonts w:ascii="Times New Roman" w:hAnsi="Times New Roman" w:eastAsia="Times New Roman" w:cs="Times New Roman"/>
        <w:i/>
        <w:sz w:val="18"/>
        <w:szCs w:val="18"/>
      </w:rPr>
      <w:t>o. 01</w:t>
    </w:r>
    <w:r>
      <w:rPr>
        <w:rFonts w:ascii="Times New Roman" w:hAnsi="Times New Roman" w:eastAsia="Times New Roman" w:cs="Times New Roman"/>
        <w:i/>
        <w:sz w:val="18"/>
        <w:szCs w:val="18"/>
        <w:lang w:val="id-ID"/>
      </w:rPr>
      <w:t>, 20</w:t>
    </w:r>
    <w:r>
      <w:rPr>
        <w:rFonts w:ascii="Times New Roman" w:hAnsi="Times New Roman" w:eastAsia="Times New Roman" w:cs="Times New Roman"/>
        <w:i/>
        <w:sz w:val="18"/>
        <w:szCs w:val="18"/>
      </w:rPr>
      <w:t>22</w:t>
    </w:r>
    <w:r>
      <w:rPr>
        <w:rFonts w:ascii="Times New Roman" w:hAnsi="Times New Roman" w:eastAsia="Times New Roman" w:cs="Times New Roman"/>
        <w:i/>
        <w:sz w:val="18"/>
        <w:szCs w:val="18"/>
        <w:lang w:val="id-ID"/>
      </w:rPr>
      <w:t xml:space="preserve">, </w:t>
    </w:r>
    <w:r>
      <w:rPr>
        <w:rFonts w:ascii="Times New Roman" w:hAnsi="Times New Roman" w:eastAsia="Times New Roman" w:cs="Times New Roman"/>
        <w:i/>
        <w:color w:val="FF0000"/>
        <w:sz w:val="18"/>
        <w:szCs w:val="18"/>
        <w:lang w:val="id-ID"/>
      </w:rPr>
      <w:t>hlm.</w:t>
    </w:r>
    <w:r>
      <w:rPr>
        <w:rFonts w:ascii="Times New Roman" w:hAnsi="Times New Roman" w:eastAsia="Times New Roman" w:cs="Times New Roman"/>
        <w:i/>
        <w:color w:val="FF0000"/>
        <w:sz w:val="18"/>
        <w:szCs w:val="18"/>
      </w:rPr>
      <w:t xml:space="preserve"> 9-15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lang w:val="en-US"/>
      </w:rPr>
    </w:pPr>
    <w:r>
      <w:rPr>
        <w:lang w:val="en-US"/>
      </w:rPr>
      <w:t>dsdsdddddddddddd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5F8EA1"/>
    <w:multiLevelType w:val="singleLevel"/>
    <w:tmpl w:val="A15F8EA1"/>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evenAndOddHeaders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E57"/>
    <w:rsid w:val="00326AEB"/>
    <w:rsid w:val="008846B1"/>
    <w:rsid w:val="00A56E57"/>
    <w:rsid w:val="00C54715"/>
    <w:rsid w:val="00DE3FBF"/>
    <w:rsid w:val="0F4E2D42"/>
    <w:rsid w:val="121046CC"/>
    <w:rsid w:val="1E135665"/>
    <w:rsid w:val="269D06F6"/>
    <w:rsid w:val="2A570E5A"/>
    <w:rsid w:val="485F23EA"/>
    <w:rsid w:val="5408104C"/>
    <w:rsid w:val="67521B31"/>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qFormat="1" w:unhideWhenUsed="0" w:uiPriority="0" w:semiHidden="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59"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SimSun"/>
      <w:sz w:val="22"/>
      <w:szCs w:val="22"/>
      <w:lang w:val="zh-CN" w:eastAsia="en-US" w:bidi="ar-SA"/>
    </w:rPr>
  </w:style>
  <w:style w:type="paragraph" w:styleId="2">
    <w:name w:val="heading 1"/>
    <w:basedOn w:val="1"/>
    <w:next w:val="1"/>
    <w:link w:val="26"/>
    <w:qFormat/>
    <w:uiPriority w:val="9"/>
    <w:pPr>
      <w:keepNext/>
      <w:spacing w:after="0" w:line="240" w:lineRule="auto"/>
      <w:jc w:val="center"/>
      <w:outlineLvl w:val="0"/>
    </w:pPr>
    <w:rPr>
      <w:rFonts w:ascii="Times New Roman" w:hAnsi="Times New Roman" w:cs="Times New Roman"/>
      <w:i/>
      <w:sz w:val="20"/>
      <w:lang w:val="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28"/>
    <w:qFormat/>
    <w:uiPriority w:val="99"/>
    <w:pPr>
      <w:spacing w:after="0" w:line="240" w:lineRule="auto"/>
    </w:pPr>
    <w:rPr>
      <w:rFonts w:ascii="Tahoma" w:hAnsi="Tahoma" w:cs="Tahoma"/>
      <w:sz w:val="16"/>
      <w:szCs w:val="16"/>
    </w:rPr>
  </w:style>
  <w:style w:type="paragraph" w:styleId="6">
    <w:name w:val="Body Text Indent"/>
    <w:basedOn w:val="1"/>
    <w:unhideWhenUsed/>
    <w:qFormat/>
    <w:uiPriority w:val="0"/>
    <w:pPr>
      <w:spacing w:after="120"/>
      <w:ind w:left="283"/>
    </w:pPr>
    <w:rPr>
      <w:rFonts w:eastAsia="SimSun"/>
    </w:rPr>
  </w:style>
  <w:style w:type="paragraph" w:styleId="7">
    <w:name w:val="caption"/>
    <w:basedOn w:val="1"/>
    <w:next w:val="1"/>
    <w:qFormat/>
    <w:uiPriority w:val="0"/>
    <w:pPr>
      <w:spacing w:after="200" w:line="240" w:lineRule="auto"/>
    </w:pPr>
    <w:rPr>
      <w:i/>
      <w:iCs/>
      <w:color w:val="44546A"/>
      <w:sz w:val="18"/>
      <w:szCs w:val="18"/>
      <w:lang w:val="en-US"/>
    </w:rPr>
  </w:style>
  <w:style w:type="paragraph" w:styleId="8">
    <w:name w:val="footer"/>
    <w:basedOn w:val="1"/>
    <w:link w:val="15"/>
    <w:qFormat/>
    <w:uiPriority w:val="99"/>
    <w:pPr>
      <w:tabs>
        <w:tab w:val="center" w:pos="4513"/>
        <w:tab w:val="right" w:pos="9026"/>
      </w:tabs>
      <w:spacing w:after="0" w:line="240" w:lineRule="auto"/>
    </w:pPr>
  </w:style>
  <w:style w:type="paragraph" w:styleId="9">
    <w:name w:val="header"/>
    <w:basedOn w:val="1"/>
    <w:link w:val="14"/>
    <w:qFormat/>
    <w:uiPriority w:val="99"/>
    <w:pPr>
      <w:tabs>
        <w:tab w:val="center" w:pos="4513"/>
        <w:tab w:val="right" w:pos="9026"/>
      </w:tabs>
      <w:spacing w:after="0" w:line="240" w:lineRule="auto"/>
    </w:pPr>
  </w:style>
  <w:style w:type="character" w:styleId="10">
    <w:name w:val="Hyperlink"/>
    <w:basedOn w:val="3"/>
    <w:qFormat/>
    <w:uiPriority w:val="99"/>
    <w:rPr>
      <w:color w:val="0563C1"/>
      <w:u w:val="single"/>
    </w:rPr>
  </w:style>
  <w:style w:type="character" w:styleId="11">
    <w:name w:val="page number"/>
    <w:basedOn w:val="3"/>
    <w:qFormat/>
    <w:uiPriority w:val="0"/>
  </w:style>
  <w:style w:type="table" w:styleId="12">
    <w:name w:val="Table Grid"/>
    <w:basedOn w:val="4"/>
    <w:qFormat/>
    <w:uiPriority w:val="5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3">
    <w:name w:val="Table List 3"/>
    <w:basedOn w:val="4"/>
    <w:qFormat/>
    <w:uiPriority w:val="0"/>
    <w:pPr>
      <w:jc w:val="both"/>
    </w:pPr>
    <w:rPr>
      <w:rFonts w:eastAsia="Times New Roman"/>
    </w:r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character" w:customStyle="1" w:styleId="14">
    <w:name w:val="Header Char"/>
    <w:basedOn w:val="3"/>
    <w:link w:val="9"/>
    <w:qFormat/>
    <w:uiPriority w:val="99"/>
  </w:style>
  <w:style w:type="character" w:customStyle="1" w:styleId="15">
    <w:name w:val="Footer Char"/>
    <w:basedOn w:val="3"/>
    <w:link w:val="8"/>
    <w:qFormat/>
    <w:uiPriority w:val="99"/>
  </w:style>
  <w:style w:type="character" w:customStyle="1" w:styleId="16">
    <w:name w:val="Unresolved Mention"/>
    <w:basedOn w:val="3"/>
    <w:qFormat/>
    <w:uiPriority w:val="99"/>
    <w:rPr>
      <w:color w:val="605E5C"/>
      <w:shd w:val="clear" w:color="auto" w:fill="E1DFDD"/>
    </w:rPr>
  </w:style>
  <w:style w:type="paragraph" w:customStyle="1" w:styleId="17">
    <w:name w:val="kat-kunci"/>
    <w:basedOn w:val="1"/>
    <w:qFormat/>
    <w:uiPriority w:val="0"/>
    <w:pPr>
      <w:spacing w:before="240" w:after="400" w:line="245" w:lineRule="auto"/>
      <w:ind w:left="567" w:right="567"/>
      <w:jc w:val="both"/>
    </w:pPr>
    <w:rPr>
      <w:rFonts w:ascii="Times New Roman" w:hAnsi="Times New Roman" w:eastAsia="Times New Roman" w:cs="Times New Roman"/>
      <w:spacing w:val="-4"/>
      <w:sz w:val="20"/>
      <w:szCs w:val="20"/>
      <w:lang w:val="en-US"/>
    </w:rPr>
  </w:style>
  <w:style w:type="paragraph" w:customStyle="1" w:styleId="18">
    <w:name w:val="body-0"/>
    <w:basedOn w:val="1"/>
    <w:link w:val="19"/>
    <w:qFormat/>
    <w:uiPriority w:val="0"/>
    <w:pPr>
      <w:spacing w:after="0" w:line="245" w:lineRule="auto"/>
      <w:jc w:val="both"/>
    </w:pPr>
    <w:rPr>
      <w:rFonts w:ascii="Times New Roman" w:hAnsi="Times New Roman" w:eastAsia="Times New Roman" w:cs="Times New Roman"/>
      <w:spacing w:val="-4"/>
      <w:lang w:val="sv-SE"/>
    </w:rPr>
  </w:style>
  <w:style w:type="character" w:customStyle="1" w:styleId="19">
    <w:name w:val="body-0 Char"/>
    <w:link w:val="18"/>
    <w:qFormat/>
    <w:uiPriority w:val="0"/>
    <w:rPr>
      <w:rFonts w:ascii="Times New Roman" w:hAnsi="Times New Roman" w:eastAsia="Times New Roman" w:cs="Times New Roman"/>
      <w:spacing w:val="-4"/>
      <w:lang w:val="sv-SE"/>
    </w:rPr>
  </w:style>
  <w:style w:type="paragraph" w:styleId="20">
    <w:name w:val="No Spacing"/>
    <w:link w:val="21"/>
    <w:qFormat/>
    <w:uiPriority w:val="99"/>
    <w:pPr>
      <w:jc w:val="both"/>
    </w:pPr>
    <w:rPr>
      <w:rFonts w:ascii="Calibri" w:hAnsi="Calibri" w:eastAsia="Calibri" w:cs="SimSun"/>
      <w:sz w:val="22"/>
      <w:szCs w:val="22"/>
      <w:lang w:val="id-ID" w:eastAsia="en-US" w:bidi="ar-SA"/>
    </w:rPr>
  </w:style>
  <w:style w:type="character" w:customStyle="1" w:styleId="21">
    <w:name w:val="No Spacing Char"/>
    <w:basedOn w:val="3"/>
    <w:link w:val="20"/>
    <w:qFormat/>
    <w:uiPriority w:val="99"/>
    <w:rPr>
      <w:lang w:val="id-ID"/>
    </w:rPr>
  </w:style>
  <w:style w:type="paragraph" w:customStyle="1" w:styleId="22">
    <w:name w:val="body-1"/>
    <w:basedOn w:val="1"/>
    <w:link w:val="23"/>
    <w:qFormat/>
    <w:uiPriority w:val="0"/>
    <w:pPr>
      <w:spacing w:after="0" w:line="245" w:lineRule="auto"/>
      <w:ind w:firstLine="454"/>
      <w:jc w:val="both"/>
    </w:pPr>
    <w:rPr>
      <w:rFonts w:ascii="Times New Roman" w:hAnsi="Times New Roman" w:eastAsia="Times New Roman" w:cs="Times New Roman"/>
      <w:spacing w:val="-4"/>
      <w:lang w:val="sv-SE"/>
    </w:rPr>
  </w:style>
  <w:style w:type="character" w:customStyle="1" w:styleId="23">
    <w:name w:val="body-1 Char"/>
    <w:link w:val="22"/>
    <w:qFormat/>
    <w:uiPriority w:val="0"/>
    <w:rPr>
      <w:rFonts w:ascii="Times New Roman" w:hAnsi="Times New Roman" w:eastAsia="Times New Roman" w:cs="Times New Roman"/>
      <w:spacing w:val="-4"/>
      <w:lang w:val="sv-SE"/>
    </w:rPr>
  </w:style>
  <w:style w:type="paragraph" w:styleId="24">
    <w:name w:val="List Paragraph"/>
    <w:basedOn w:val="1"/>
    <w:link w:val="25"/>
    <w:qFormat/>
    <w:uiPriority w:val="34"/>
    <w:pPr>
      <w:ind w:left="720"/>
      <w:contextualSpacing/>
      <w:jc w:val="both"/>
    </w:pPr>
    <w:rPr>
      <w:rFonts w:cs="Times New Roman"/>
      <w:lang w:val="en-US"/>
    </w:rPr>
  </w:style>
  <w:style w:type="character" w:customStyle="1" w:styleId="25">
    <w:name w:val="List Paragraph Char"/>
    <w:link w:val="24"/>
    <w:qFormat/>
    <w:uiPriority w:val="34"/>
    <w:rPr>
      <w:rFonts w:ascii="Calibri" w:hAnsi="Calibri" w:eastAsia="Calibri" w:cs="Times New Roman"/>
      <w:lang w:val="en-US"/>
    </w:rPr>
  </w:style>
  <w:style w:type="character" w:customStyle="1" w:styleId="26">
    <w:name w:val="Heading 1 Char"/>
    <w:basedOn w:val="3"/>
    <w:link w:val="2"/>
    <w:qFormat/>
    <w:uiPriority w:val="9"/>
    <w:rPr>
      <w:rFonts w:ascii="Times New Roman" w:hAnsi="Times New Roman" w:cs="Times New Roman"/>
      <w:i/>
      <w:sz w:val="20"/>
      <w:lang w:val="en-US"/>
    </w:rPr>
  </w:style>
  <w:style w:type="paragraph" w:customStyle="1" w:styleId="27">
    <w:name w:val="Bibliography1"/>
    <w:basedOn w:val="1"/>
    <w:next w:val="1"/>
    <w:qFormat/>
    <w:uiPriority w:val="37"/>
    <w:pPr>
      <w:spacing w:after="0" w:line="220" w:lineRule="exact"/>
      <w:ind w:firstLine="301"/>
      <w:jc w:val="both"/>
    </w:pPr>
    <w:rPr>
      <w:rFonts w:ascii="Times New Roman" w:hAnsi="Times New Roman" w:eastAsia="Times New Roman" w:cs="Times New Roman"/>
      <w:sz w:val="20"/>
      <w:szCs w:val="20"/>
      <w:lang w:val="en-GB"/>
    </w:rPr>
  </w:style>
  <w:style w:type="character" w:customStyle="1" w:styleId="28">
    <w:name w:val="Balloon Text Char"/>
    <w:basedOn w:val="3"/>
    <w:link w:val="5"/>
    <w:qFormat/>
    <w:uiPriority w:val="99"/>
    <w:rPr>
      <w:rFonts w:ascii="Tahoma" w:hAnsi="Tahoma" w:cs="Tahoma"/>
      <w:sz w:val="16"/>
      <w:szCs w:val="16"/>
    </w:rPr>
  </w:style>
  <w:style w:type="character" w:customStyle="1" w:styleId="29">
    <w:name w:val="long_text"/>
    <w:qFormat/>
    <w:uiPriority w:val="0"/>
  </w:style>
  <w:style w:type="paragraph" w:customStyle="1" w:styleId="30">
    <w:name w:val="E-JOURNAL_Body"/>
    <w:basedOn w:val="1"/>
    <w:qFormat/>
    <w:uiPriority w:val="0"/>
    <w:pPr>
      <w:spacing w:after="0" w:line="240" w:lineRule="auto"/>
      <w:ind w:firstLine="567"/>
      <w:jc w:val="both"/>
    </w:pPr>
    <w:rPr>
      <w:rFonts w:ascii="Times New Roman" w:hAnsi="Times New Roman" w:eastAsia="Times New Roman" w:cs="Times New Roman"/>
      <w:szCs w:val="24"/>
      <w:lang w:val="id-I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PENGAJARAN%20K13PLUS\UT\SKP%202022\DATA\ANGKET%201.%20Flora%20Fauna%20Lahan%20Basah%20(Respons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en-US" sz="1800" b="0" i="0" u="none" strike="noStrike" kern="1200" baseline="0">
                <a:solidFill>
                  <a:srgbClr val="595959">
                    <a:lumMod val="65000"/>
                    <a:lumOff val="35000"/>
                  </a:srgbClr>
                </a:solidFill>
                <a:effectLst/>
                <a:latin typeface="+mn-lt"/>
                <a:ea typeface="+mn-ea"/>
                <a:cs typeface="+mn-cs"/>
              </a:defRPr>
            </a:pPr>
            <a:r>
              <a:rPr lang="en-US"/>
              <a:t>Literasi Lahan Basah Tiap Indikator</a:t>
            </a:r>
            <a:endParaRPr lang="en-US"/>
          </a:p>
        </c:rich>
      </c:tx>
      <c:layout/>
      <c:overlay val="0"/>
      <c:spPr>
        <a:noFill/>
        <a:ln>
          <a:noFill/>
        </a:ln>
        <a:effectLst/>
      </c:spPr>
    </c:title>
    <c:autoTitleDeleted val="0"/>
    <c:plotArea>
      <c:layout/>
      <c:barChart>
        <c:barDir val="col"/>
        <c:grouping val="clustered"/>
        <c:varyColors val="0"/>
        <c:ser>
          <c:idx val="0"/>
          <c:order val="0"/>
          <c:spPr>
            <a:gradFill>
              <a:gsLst>
                <a:gs pos="0">
                  <a:srgbClr val="4F81BD"/>
                </a:gs>
                <a:gs pos="100000">
                  <a:srgbClr val="3D6CA4">
                    <a:lumMod val="84000"/>
                  </a:srgb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1" i="0" u="none" strike="noStrike" kern="1200" baseline="0">
                    <a:solidFill>
                      <a:srgbClr val="FFFFFF"/>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rgbClr val="808080">
                          <a:lumMod val="50000"/>
                          <a:lumOff val="50000"/>
                        </a:srgbClr>
                      </a:solidFill>
                    </a:ln>
                    <a:effectLst/>
                  </c:spPr>
                </c15:leaderLines>
              </c:ext>
            </c:extLst>
          </c:dLbls>
          <c:cat>
            <c:strRef>
              <c:f>'[ANGKET 1. Flora Fauna Lahan Basah (Responses).xlsx]Sheet1'!$G$102:$J$102</c:f>
              <c:strCache>
                <c:ptCount val="4"/>
                <c:pt idx="0">
                  <c:v>1. Flora Fauna Lahan Basah</c:v>
                </c:pt>
                <c:pt idx="1">
                  <c:v>2. Sifat Perairan Lahan Basah</c:v>
                </c:pt>
                <c:pt idx="2">
                  <c:v>3. Pengelolaan lahan basah</c:v>
                </c:pt>
                <c:pt idx="3">
                  <c:v>4. Pelestarian lahan basah</c:v>
                </c:pt>
              </c:strCache>
            </c:strRef>
          </c:cat>
          <c:val>
            <c:numRef>
              <c:f>'[ANGKET 1. Flora Fauna Lahan Basah (Responses).xlsx]Sheet1'!$G$103:$J$103</c:f>
              <c:numCache>
                <c:formatCode>0.00</c:formatCode>
                <c:ptCount val="4"/>
                <c:pt idx="0">
                  <c:v>85.4347826086957</c:v>
                </c:pt>
                <c:pt idx="1">
                  <c:v>64.1379310344828</c:v>
                </c:pt>
                <c:pt idx="2">
                  <c:v>81.1538461538462</c:v>
                </c:pt>
                <c:pt idx="3">
                  <c:v>70.6896551724138</c:v>
                </c:pt>
              </c:numCache>
            </c:numRef>
          </c:val>
        </c:ser>
        <c:dLbls>
          <c:showLegendKey val="0"/>
          <c:showVal val="1"/>
          <c:showCatName val="0"/>
          <c:showSerName val="0"/>
          <c:showPercent val="0"/>
          <c:showBubbleSize val="0"/>
        </c:dLbls>
        <c:gapWidth val="41"/>
        <c:axId val="252074032"/>
        <c:axId val="326592728"/>
      </c:barChart>
      <c:catAx>
        <c:axId val="252074032"/>
        <c:scaling>
          <c:orientation val="minMax"/>
        </c:scaling>
        <c:delete val="0"/>
        <c:axPos val="b"/>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rgbClr val="595959">
                    <a:lumMod val="65000"/>
                    <a:lumOff val="35000"/>
                  </a:srgbClr>
                </a:solidFill>
                <a:effectLst/>
                <a:latin typeface="+mn-lt"/>
                <a:ea typeface="+mn-ea"/>
                <a:cs typeface="+mn-cs"/>
              </a:defRPr>
            </a:pPr>
          </a:p>
        </c:txPr>
        <c:crossAx val="326592728"/>
        <c:crosses val="autoZero"/>
        <c:auto val="1"/>
        <c:lblAlgn val="ctr"/>
        <c:lblOffset val="100"/>
        <c:noMultiLvlLbl val="0"/>
      </c:catAx>
      <c:valAx>
        <c:axId val="326592728"/>
        <c:scaling>
          <c:orientation val="minMax"/>
        </c:scaling>
        <c:delete val="1"/>
        <c:axPos val="l"/>
        <c:numFmt formatCode="0.00" sourceLinked="1"/>
        <c:majorTickMark val="none"/>
        <c:minorTickMark val="none"/>
        <c:tickLblPos val="nextTo"/>
        <c:txPr>
          <a:bodyPr rot="-60000000" spcFirstLastPara="0" vertOverflow="ellipsis" vert="horz" wrap="square" anchor="ctr" anchorCtr="1"/>
          <a:lstStyle/>
          <a:p>
            <a:pPr>
              <a:defRPr lang="en-US" sz="900" b="0" i="0" u="none" strike="noStrike" kern="1200" baseline="0">
                <a:solidFill>
                  <a:srgbClr val="595959">
                    <a:lumMod val="65000"/>
                    <a:lumOff val="35000"/>
                  </a:srgbClr>
                </a:solidFill>
                <a:latin typeface="+mn-lt"/>
                <a:ea typeface="+mn-ea"/>
                <a:cs typeface="+mn-cs"/>
              </a:defRPr>
            </a:pPr>
          </a:p>
        </c:txPr>
        <c:crossAx val="252074032"/>
        <c:crosses val="autoZero"/>
        <c:crossBetween val="between"/>
      </c:valAx>
      <c:spPr>
        <a:noFill/>
        <a:ln>
          <a:noFill/>
        </a:ln>
        <a:effectLst/>
      </c:spPr>
    </c:plotArea>
    <c:plotVisOnly val="1"/>
    <c:dispBlanksAs val="gap"/>
    <c:showDLblsOverMax val="0"/>
  </c:chart>
  <c:spPr>
    <a:gradFill flip="none" rotWithShape="1">
      <a:gsLst>
        <a:gs pos="0">
          <a:srgbClr val="FFFFFF"/>
        </a:gs>
        <a:gs pos="68000">
          <a:srgbClr val="D9D9D9">
            <a:lumMod val="85000"/>
          </a:srgbClr>
        </a:gs>
        <a:gs pos="100000">
          <a:srgbClr val="FFFFFF"/>
        </a:gs>
      </a:gsLst>
      <a:lin ang="5400000" scaled="1"/>
    </a:gradFill>
    <a:ln w="9525" cap="flat" cmpd="sng" algn="ctr">
      <a:solidFill>
        <a:srgbClr val="D9D9D9">
          <a:lumMod val="15000"/>
          <a:lumOff val="85000"/>
        </a:srgbClr>
      </a:solidFill>
      <a:round/>
    </a:ln>
    <a:effectLst/>
  </c:spPr>
  <c:txPr>
    <a:bodyPr/>
    <a:lstStyle/>
    <a:p>
      <a:pPr>
        <a:defRPr lang="en-US"/>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4">
  <cs:axisTitle>
    <cs:lnRef idx="0"/>
    <cs:fillRef idx="0"/>
    <cs:effectRef idx="0"/>
    <cs:fontRef idx="minor">
      <a:srgbClr val="595959">
        <a:lumMod val="65000"/>
        <a:lumOff val="35000"/>
      </a:srgbClr>
    </cs:fontRef>
    <cs:defRPr sz="900" b="1" kern="1200"/>
  </cs:axisTitle>
  <cs:categoryAxis>
    <cs:lnRef idx="0"/>
    <cs:fillRef idx="0"/>
    <cs:effectRef idx="0"/>
    <cs:fontRef idx="minor">
      <a:srgbClr val="595959">
        <a:lumMod val="65000"/>
        <a:lumOff val="35000"/>
      </a:srgbClr>
    </cs:fontRef>
    <cs:defRPr sz="900" kern="1200">
      <a:effectLst/>
    </cs:defRPr>
  </cs:categoryAxis>
  <cs:chartArea>
    <cs:lnRef idx="0"/>
    <cs:fillRef idx="0"/>
    <cs:effectRef idx="0"/>
    <cs:fontRef idx="minor">
      <a:srgbClr val="000000"/>
    </cs:fontRef>
    <cs:spPr>
      <a:gradFill flip="none" rotWithShape="1">
        <a:gsLst>
          <a:gs pos="0">
            <a:srgbClr val="FFFFFF"/>
          </a:gs>
          <a:gs pos="68000">
            <a:srgbClr val="D9D9D9">
              <a:lumMod val="85000"/>
            </a:srgbClr>
          </a:gs>
          <a:gs pos="100000">
            <a:srgbClr val="FFFFFF"/>
          </a:gs>
        </a:gsLst>
        <a:lin ang="5400000" scaled="1"/>
      </a:gradFill>
      <a:ln w="9525" cap="flat" cmpd="sng" algn="ctr">
        <a:solidFill>
          <a:srgbClr val="D9D9D9">
            <a:lumMod val="15000"/>
            <a:lumOff val="85000"/>
          </a:srgbClr>
        </a:solidFill>
        <a:round/>
      </a:ln>
    </cs:spPr>
    <cs:defRPr sz="1000" kern="1200"/>
  </cs:chartArea>
  <cs:dataLabel>
    <cs:lnRef idx="0"/>
    <cs:fillRef idx="0"/>
    <cs:effectRef idx="0"/>
    <cs:fontRef idx="minor">
      <a:srgbClr val="FFFFFF"/>
    </cs:fontRef>
    <cs:defRPr sz="1000" b="1" i="0" u="none" strike="noStrike" kern="1200" baseline="0"/>
  </cs:dataLabel>
  <cs:dataLabelCallout>
    <cs:lnRef idx="0"/>
    <cs:fillRef idx="0"/>
    <cs:effectRef idx="0"/>
    <cs:fontRef idx="minor">
      <a:srgbClr val="FFFFFF"/>
    </cs:fontRef>
    <cs:spPr>
      <a:solidFill>
        <a:srgbClr val="595959">
          <a:lumMod val="65000"/>
          <a:lumOff val="35000"/>
          <a:alpha val="75000"/>
        </a:srgb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rgbClr val="000000"/>
    </cs:fontRef>
    <cs:spPr>
      <a:gradFill>
        <a:gsLst>
          <a:gs pos="0">
            <a:srgbClr val="FFFFFF"/>
          </a:gs>
          <a:gs pos="100000">
            <a:srgbClr val="D6D6D6">
              <a:lumMod val="84000"/>
            </a:srgb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rgbClr val="000000"/>
    </cs:fontRef>
    <cs:spPr>
      <a:gradFill>
        <a:gsLst>
          <a:gs pos="0">
            <a:srgbClr val="FFFFFF"/>
          </a:gs>
          <a:gs pos="100000">
            <a:srgbClr val="D6D6D6">
              <a:lumMod val="84000"/>
            </a:srgb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rgbClr val="000000"/>
    </cs:fontRef>
    <cs:spPr>
      <a:ln w="28575" cap="rnd">
        <a:gradFill>
          <a:gsLst>
            <a:gs pos="0">
              <a:srgbClr val="FFFFFF"/>
            </a:gs>
            <a:gs pos="100000">
              <a:srgbClr val="D6D6D6">
                <a:lumMod val="84000"/>
              </a:srgbClr>
            </a:gs>
          </a:gsLst>
          <a:lin ang="5400000" scaled="1"/>
        </a:gradFill>
        <a:round/>
      </a:ln>
    </cs:spPr>
  </cs:dataPointLine>
  <cs:dataPointMarker>
    <cs:lnRef idx="0"/>
    <cs:fillRef idx="0">
      <cs:styleClr val="auto"/>
    </cs:fillRef>
    <cs:effectRef idx="0"/>
    <cs:fontRef idx="minor">
      <a:srgbClr val="000000"/>
    </cs:fontRef>
    <cs:spPr>
      <a:gradFill>
        <a:gsLst>
          <a:gs pos="0">
            <a:srgbClr val="FFFFFF"/>
          </a:gs>
          <a:gs pos="100000">
            <a:srgbClr val="D6D6D6">
              <a:lumMod val="84000"/>
            </a:srgb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ln w="9525">
        <a:solidFill>
          <a:srgbClr val="D9D9D9">
            <a:lumMod val="15000"/>
            <a:lumOff val="85000"/>
          </a:srgbClr>
        </a:solidFill>
      </a:ln>
    </cs:spPr>
    <cs:defRPr sz="900" kern="1200"/>
  </cs:dataTable>
  <cs:downBar>
    <cs:lnRef idx="0"/>
    <cs:fillRef idx="0"/>
    <cs:effectRef idx="0"/>
    <cs:fontRef idx="minor">
      <a:srgbClr val="000000"/>
    </cs:fontRef>
    <cs:spPr>
      <a:solidFill>
        <a:srgbClr val="A6A6A6">
          <a:lumMod val="35000"/>
          <a:lumOff val="65000"/>
        </a:srgbClr>
      </a:solidFill>
      <a:ln w="9525">
        <a:solidFill>
          <a:srgbClr val="808080">
            <a:lumMod val="50000"/>
            <a:lumOff val="50000"/>
          </a:srgbClr>
        </a:solidFill>
      </a:ln>
    </cs:spPr>
  </cs:downBar>
  <cs:dropLine>
    <cs:lnRef idx="0"/>
    <cs:fillRef idx="0"/>
    <cs:effectRef idx="0"/>
    <cs:fontRef idx="minor">
      <a:srgbClr val="000000"/>
    </cs:fontRef>
    <cs:spPr>
      <a:ln w="9525">
        <a:solidFill>
          <a:srgbClr val="808080">
            <a:lumMod val="50000"/>
            <a:lumOff val="50000"/>
          </a:srgbClr>
        </a:solidFill>
        <a:round/>
      </a:ln>
    </cs:spPr>
  </cs:dropLine>
  <cs:errorBar>
    <cs:lnRef idx="0"/>
    <cs:fillRef idx="0"/>
    <cs:effectRef idx="0"/>
    <cs:fontRef idx="minor">
      <a:srgbClr val="000000"/>
    </cs:fontRef>
    <cs:spPr>
      <a:ln w="9525">
        <a:solidFill>
          <a:srgbClr val="808080">
            <a:lumMod val="50000"/>
            <a:lumOff val="50000"/>
          </a:srgbClr>
        </a:solidFill>
        <a:round/>
      </a:ln>
    </cs:spPr>
  </cs:errorBar>
  <cs:floor>
    <cs:lnRef idx="0"/>
    <cs:fillRef idx="0"/>
    <cs:effectRef idx="0"/>
    <cs:fontRef idx="minor">
      <a:srgbClr val="000000"/>
    </cs:fontRef>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a:solidFill>
          <a:srgbClr val="F2F2F2">
            <a:lumMod val="5000"/>
            <a:lumOff val="95000"/>
          </a:srgbClr>
        </a:solidFill>
      </a:ln>
    </cs:spPr>
  </cs:gridlineMinor>
  <cs:hiLoLine>
    <cs:lnRef idx="0"/>
    <cs:fillRef idx="0"/>
    <cs:effectRef idx="0"/>
    <cs:fontRef idx="minor">
      <a:srgbClr val="000000"/>
    </cs:fontRef>
    <cs:spPr>
      <a:ln w="9525">
        <a:solidFill>
          <a:srgbClr val="808080">
            <a:lumMod val="50000"/>
            <a:lumOff val="50000"/>
          </a:srgbClr>
        </a:solidFill>
        <a:round/>
      </a:ln>
    </cs:spPr>
  </cs:hiLoLine>
  <cs:leaderLine>
    <cs:lnRef idx="0"/>
    <cs:fillRef idx="0"/>
    <cs:effectRef idx="0"/>
    <cs:fontRef idx="minor">
      <a:srgbClr val="000000"/>
    </cs:fontRef>
    <cs:spPr>
      <a:ln w="9525">
        <a:solidFill>
          <a:srgbClr val="808080">
            <a:lumMod val="50000"/>
            <a:lumOff val="50000"/>
          </a:srgbClr>
        </a:solidFill>
      </a:ln>
    </cs:spPr>
  </cs:leaderLine>
  <cs:legend>
    <cs:lnRef idx="0"/>
    <cs:fillRef idx="0"/>
    <cs:effectRef idx="0"/>
    <cs:fontRef idx="minor">
      <a:srgbClr val="595959">
        <a:lumMod val="65000"/>
        <a:lumOff val="35000"/>
      </a:srgbClr>
    </cs:fontRef>
    <cs:defRPr sz="900" kern="1200"/>
  </cs:legend>
  <cs:plotArea>
    <cs:lnRef idx="0"/>
    <cs:fillRef idx="0"/>
    <cs:effectRef idx="0"/>
    <cs:fontRef idx="minor">
      <a:srgbClr val="000000"/>
    </cs:fontRef>
  </cs:plotArea>
  <cs:plotArea3D>
    <cs:lnRef idx="0"/>
    <cs:fillRef idx="0"/>
    <cs:effectRef idx="0"/>
    <cs:fontRef idx="minor">
      <a:srgbClr val="000000"/>
    </cs:fontRef>
  </cs:plotArea3D>
  <cs:series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seriesAxis>
  <cs:seriesLine>
    <cs:lnRef idx="0"/>
    <cs:fillRef idx="0"/>
    <cs:effectRef idx="0"/>
    <cs:fontRef idx="minor">
      <a:srgbClr val="000000"/>
    </cs:fontRef>
    <cs:spPr>
      <a:ln w="9525">
        <a:solidFill>
          <a:srgbClr val="808080">
            <a:lumMod val="50000"/>
            <a:lumOff val="50000"/>
          </a:srgbClr>
        </a:solidFill>
        <a:round/>
      </a:ln>
    </cs:spPr>
  </cs:seriesLine>
  <cs:title>
    <cs:lnRef idx="0"/>
    <cs:fillRef idx="0"/>
    <cs:effectRef idx="0"/>
    <cs:fontRef idx="minor">
      <a:srgbClr val="595959">
        <a:lumMod val="65000"/>
        <a:lumOff val="35000"/>
      </a:srgbClr>
    </cs:fontRef>
    <cs:defRPr kern="1200">
      <a:effectLst/>
    </cs:defRPr>
  </cs:title>
  <cs:trendline>
    <cs:lnRef idx="0">
      <cs:styleClr val="auto"/>
    </cs:lnRef>
    <cs:fillRef idx="0"/>
    <cs:effectRef idx="0"/>
    <cs:fontRef idx="minor">
      <a:srgbClr val="000000"/>
    </cs:fontRef>
    <cs:spPr>
      <a:ln w="19050" cap="rnd">
        <a:solidFill>
          <a:srgbClr val="FFFFFF"/>
        </a:solidFill>
        <a:prstDash val="sysDash"/>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2F2F2">
          <a:lumMod val="95000"/>
        </a:srgbClr>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by adguard</Company>
  <Pages>10</Pages>
  <Words>2975</Words>
  <Characters>16959</Characters>
  <Lines>141</Lines>
  <Paragraphs>39</Paragraphs>
  <TotalTime>2</TotalTime>
  <ScaleCrop>false</ScaleCrop>
  <LinksUpToDate>false</LinksUpToDate>
  <CharactersWithSpaces>19895</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2023-03-28T00:21:00Z</dcterms:created>
  <dc:creator>Akhmad Chaidir Ali</dc:creator>
  <cp:lastModifiedBy>User</cp:lastModifiedBy>
  <cp:lastPrinted>2023-02-07T05:59:00Z</cp:lastPrinted>
  <dcterms:modified xsi:type="dcterms:W3CDTF">2023-06-12T20:05:51Z</dcterms:modified>
  <cp:revision>126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F8F571DFEE5849DC9ABFE44F8AA43217</vt:lpwstr>
  </property>
  <property fmtid="{D5CDD505-2E9C-101B-9397-08002B2CF9AE}" pid="3" name="KSOProductBuildVer">
    <vt:lpwstr>1033-11.2.0.11537</vt:lpwstr>
  </property>
</Properties>
</file>